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A3" w:rsidRDefault="001643A3" w:rsidP="00973257">
      <w:pPr>
        <w:jc w:val="both"/>
        <w:rPr>
          <w:lang w:val="en-US"/>
        </w:rPr>
      </w:pPr>
    </w:p>
    <w:p w:rsidR="009F528F" w:rsidRPr="00D40225" w:rsidRDefault="007D11A4" w:rsidP="00973257">
      <w:pPr>
        <w:jc w:val="center"/>
        <w:rPr>
          <w:rFonts w:cs="Arial"/>
          <w:b/>
          <w:i/>
          <w:sz w:val="32"/>
          <w:szCs w:val="32"/>
        </w:rPr>
      </w:pPr>
      <w:r>
        <w:rPr>
          <w:rFonts w:cs="Arial"/>
          <w:b/>
          <w:sz w:val="32"/>
          <w:szCs w:val="32"/>
        </w:rPr>
        <w:t>THE CONSTITUTIONALISATION OF ADMINISTRATIVE LAW: NAVIGATING THE CUL-DE-SAC</w:t>
      </w:r>
    </w:p>
    <w:p w:rsidR="001643A3" w:rsidRDefault="001643A3" w:rsidP="00973257">
      <w:pPr>
        <w:jc w:val="center"/>
        <w:rPr>
          <w:b/>
          <w:lang w:val="en-US"/>
        </w:rPr>
      </w:pPr>
    </w:p>
    <w:p w:rsidR="001643A3" w:rsidRDefault="001643A3" w:rsidP="00973257">
      <w:pPr>
        <w:jc w:val="center"/>
        <w:rPr>
          <w:b/>
          <w:lang w:val="en-US"/>
        </w:rPr>
      </w:pPr>
    </w:p>
    <w:p w:rsidR="001643A3" w:rsidRDefault="007D11A4" w:rsidP="00973257">
      <w:pPr>
        <w:jc w:val="center"/>
        <w:rPr>
          <w:b/>
          <w:i/>
        </w:rPr>
      </w:pPr>
      <w:r>
        <w:rPr>
          <w:b/>
          <w:i/>
        </w:rPr>
        <w:t>Daniel Reynolds</w:t>
      </w:r>
      <w:r w:rsidR="00DF39F6">
        <w:rPr>
          <w:b/>
          <w:i/>
        </w:rPr>
        <w:t>*</w:t>
      </w:r>
    </w:p>
    <w:p w:rsidR="007D11A4" w:rsidRPr="00962D54" w:rsidRDefault="007D11A4" w:rsidP="007D11A4">
      <w:pPr>
        <w:spacing w:before="100" w:beforeAutospacing="1" w:after="100" w:afterAutospacing="1"/>
        <w:jc w:val="both"/>
        <w:rPr>
          <w:rFonts w:cs="Arial"/>
        </w:rPr>
      </w:pPr>
      <w:r w:rsidRPr="00962D54">
        <w:rPr>
          <w:rFonts w:cs="Arial"/>
        </w:rPr>
        <w:t xml:space="preserve">The </w:t>
      </w:r>
      <w:proofErr w:type="spellStart"/>
      <w:r w:rsidRPr="00962D54">
        <w:rPr>
          <w:rFonts w:cs="Arial"/>
        </w:rPr>
        <w:t>constitutionalisation</w:t>
      </w:r>
      <w:proofErr w:type="spellEnd"/>
      <w:r w:rsidRPr="00962D54">
        <w:rPr>
          <w:rFonts w:cs="Arial"/>
        </w:rPr>
        <w:t xml:space="preserve"> of administrative law is a topic that is difficult to get wildly excited about,</w:t>
      </w:r>
      <w:r w:rsidRPr="00962D54">
        <w:rPr>
          <w:rStyle w:val="EndnoteReference"/>
          <w:rFonts w:cs="Arial"/>
        </w:rPr>
        <w:endnoteReference w:id="2"/>
      </w:r>
      <w:r w:rsidRPr="00962D54">
        <w:rPr>
          <w:rFonts w:cs="Arial"/>
        </w:rPr>
        <w:t xml:space="preserve"> yet perhaps the time has come to at least begin politely feigning interest in it. No other trend can be said to so comprehensively account for the impasse at which Australian administrative law now finds itself, with one scholar describing the </w:t>
      </w:r>
      <w:r w:rsidRPr="00962D54">
        <w:rPr>
          <w:rFonts w:cs="Arial"/>
          <w:i/>
          <w:iCs/>
        </w:rPr>
        <w:t>Constitution</w:t>
      </w:r>
      <w:r w:rsidRPr="00962D54">
        <w:rPr>
          <w:rFonts w:cs="Arial"/>
        </w:rPr>
        <w:t xml:space="preserve"> as ‘the dominant influence upon judicial review of administrative action in Australia’,</w:t>
      </w:r>
      <w:r w:rsidRPr="00962D54">
        <w:rPr>
          <w:rFonts w:cs="Arial"/>
          <w:vertAlign w:val="superscript"/>
        </w:rPr>
        <w:endnoteReference w:id="3"/>
      </w:r>
      <w:r w:rsidRPr="00962D54">
        <w:rPr>
          <w:rFonts w:cs="Arial"/>
        </w:rPr>
        <w:t xml:space="preserve"> and another going further to claim that ‘our administrative law is now firmly a creature of constitutional legality’.</w:t>
      </w:r>
      <w:r w:rsidRPr="00962D54">
        <w:rPr>
          <w:rFonts w:cs="Arial"/>
          <w:vertAlign w:val="superscript"/>
        </w:rPr>
        <w:endnoteReference w:id="4"/>
      </w:r>
      <w:r w:rsidRPr="00962D54">
        <w:rPr>
          <w:rFonts w:cs="Arial"/>
        </w:rPr>
        <w:t xml:space="preserve"> </w:t>
      </w:r>
      <w:r>
        <w:rPr>
          <w:rFonts w:cs="Arial"/>
        </w:rPr>
        <w:t>T</w:t>
      </w:r>
      <w:r w:rsidRPr="00962D54">
        <w:rPr>
          <w:rFonts w:cs="Arial"/>
        </w:rPr>
        <w:t>his paper follow</w:t>
      </w:r>
      <w:r>
        <w:rPr>
          <w:rFonts w:cs="Arial"/>
        </w:rPr>
        <w:t>s</w:t>
      </w:r>
      <w:r w:rsidRPr="00962D54">
        <w:rPr>
          <w:rFonts w:cs="Arial"/>
        </w:rPr>
        <w:t xml:space="preserve"> the approach used elsewhere</w:t>
      </w:r>
      <w:r w:rsidRPr="00962D54">
        <w:rPr>
          <w:rFonts w:cs="Arial"/>
          <w:vertAlign w:val="superscript"/>
        </w:rPr>
        <w:endnoteReference w:id="5"/>
      </w:r>
      <w:r w:rsidRPr="00962D54">
        <w:rPr>
          <w:rFonts w:cs="Arial"/>
        </w:rPr>
        <w:t xml:space="preserve"> of treating administrative law as simply the judicial review of administrative action, albeit a simplistic approach that has been cogently critiqued by some as idolising courts at the expense of equally valid alternative forums for administrative review</w:t>
      </w:r>
      <w:r w:rsidRPr="00962D54">
        <w:rPr>
          <w:rFonts w:cs="Arial"/>
          <w:vertAlign w:val="superscript"/>
        </w:rPr>
        <w:endnoteReference w:id="6"/>
      </w:r>
      <w:r w:rsidRPr="00962D54">
        <w:rPr>
          <w:rFonts w:cs="Arial"/>
        </w:rPr>
        <w:t xml:space="preserve"> (namely tribunals, ombudsmen and other dispute resolution options).</w:t>
      </w:r>
      <w:r w:rsidRPr="00962D54">
        <w:rPr>
          <w:rFonts w:cs="Arial"/>
          <w:vertAlign w:val="superscript"/>
        </w:rPr>
        <w:endnoteReference w:id="7"/>
      </w:r>
      <w:r w:rsidRPr="00962D54">
        <w:rPr>
          <w:rFonts w:cs="Arial"/>
        </w:rPr>
        <w:t xml:space="preserve"> Indeed, it has been argued – though far from universally accepted – that the growth of these other mechanisms has pushed judicial review to the periphery of administrative law,</w:t>
      </w:r>
      <w:r w:rsidRPr="00962D54">
        <w:rPr>
          <w:rFonts w:cs="Arial"/>
          <w:vertAlign w:val="superscript"/>
        </w:rPr>
        <w:endnoteReference w:id="8"/>
      </w:r>
      <w:r w:rsidRPr="00962D54">
        <w:rPr>
          <w:rFonts w:cs="Arial"/>
        </w:rPr>
        <w:t xml:space="preserve"> a trend that has only been quickened by the </w:t>
      </w:r>
      <w:proofErr w:type="spellStart"/>
      <w:r w:rsidRPr="00962D54">
        <w:rPr>
          <w:rFonts w:cs="Arial"/>
        </w:rPr>
        <w:t>constitutionalisation</w:t>
      </w:r>
      <w:proofErr w:type="spellEnd"/>
      <w:r w:rsidRPr="00962D54">
        <w:rPr>
          <w:rFonts w:cs="Arial"/>
        </w:rPr>
        <w:t xml:space="preserve"> of judicial review. </w:t>
      </w:r>
      <w:r>
        <w:rPr>
          <w:rFonts w:cs="Arial"/>
        </w:rPr>
        <w:t>I</w:t>
      </w:r>
      <w:r w:rsidRPr="00962D54">
        <w:rPr>
          <w:rFonts w:cs="Arial"/>
        </w:rPr>
        <w:t>n using the term ‘</w:t>
      </w:r>
      <w:proofErr w:type="spellStart"/>
      <w:r w:rsidRPr="00962D54">
        <w:rPr>
          <w:rFonts w:cs="Arial"/>
        </w:rPr>
        <w:t>constitutionalisation</w:t>
      </w:r>
      <w:proofErr w:type="spellEnd"/>
      <w:r w:rsidRPr="00962D54">
        <w:rPr>
          <w:rFonts w:cs="Arial"/>
        </w:rPr>
        <w:t xml:space="preserve">’, I do not mean the entrenchment </w:t>
      </w:r>
      <w:r w:rsidRPr="00962D54">
        <w:rPr>
          <w:rFonts w:cs="Arial"/>
          <w:i/>
          <w:iCs/>
        </w:rPr>
        <w:t>in the Constitution</w:t>
      </w:r>
      <w:r w:rsidRPr="00962D54">
        <w:rPr>
          <w:rFonts w:cs="Arial"/>
        </w:rPr>
        <w:t xml:space="preserve"> of modern principles through referenda</w:t>
      </w:r>
      <w:r w:rsidRPr="00962D54">
        <w:rPr>
          <w:rFonts w:cs="Arial"/>
          <w:vertAlign w:val="superscript"/>
        </w:rPr>
        <w:endnoteReference w:id="9"/>
      </w:r>
      <w:r w:rsidRPr="00962D54">
        <w:rPr>
          <w:rFonts w:cs="Arial"/>
        </w:rPr>
        <w:t xml:space="preserve"> but rather the judicial ‘freezing’ of common law doctrines by according them constitutional status so as to render them immune from alteration by parliaments and non-constitutional courts.</w:t>
      </w:r>
      <w:r w:rsidRPr="00962D54">
        <w:rPr>
          <w:rFonts w:cs="Arial"/>
          <w:vertAlign w:val="superscript"/>
        </w:rPr>
        <w:endnoteReference w:id="10"/>
      </w:r>
    </w:p>
    <w:p w:rsidR="007D11A4" w:rsidRPr="00962D54" w:rsidRDefault="007D11A4" w:rsidP="007D11A4">
      <w:pPr>
        <w:spacing w:before="100" w:beforeAutospacing="1" w:after="100" w:afterAutospacing="1"/>
        <w:jc w:val="both"/>
        <w:rPr>
          <w:rFonts w:cs="Arial"/>
        </w:rPr>
      </w:pPr>
      <w:r w:rsidRPr="00962D54">
        <w:rPr>
          <w:rFonts w:cs="Arial"/>
        </w:rPr>
        <w:t>This paper explore</w:t>
      </w:r>
      <w:r>
        <w:rPr>
          <w:rFonts w:cs="Arial"/>
        </w:rPr>
        <w:t>s</w:t>
      </w:r>
      <w:r w:rsidRPr="00962D54">
        <w:rPr>
          <w:rFonts w:cs="Arial"/>
        </w:rPr>
        <w:t xml:space="preserve"> the topic of </w:t>
      </w:r>
      <w:proofErr w:type="spellStart"/>
      <w:r w:rsidRPr="00962D54">
        <w:rPr>
          <w:rFonts w:cs="Arial"/>
        </w:rPr>
        <w:t>constitutionalisation</w:t>
      </w:r>
      <w:proofErr w:type="spellEnd"/>
      <w:r w:rsidRPr="00962D54">
        <w:rPr>
          <w:rFonts w:cs="Arial"/>
        </w:rPr>
        <w:t xml:space="preserve"> in three main parts. Part I give</w:t>
      </w:r>
      <w:r>
        <w:rPr>
          <w:rFonts w:cs="Arial"/>
        </w:rPr>
        <w:t>s</w:t>
      </w:r>
      <w:r w:rsidRPr="00962D54">
        <w:rPr>
          <w:rFonts w:cs="Arial"/>
        </w:rPr>
        <w:t xml:space="preserve"> a brief history of the </w:t>
      </w:r>
      <w:proofErr w:type="spellStart"/>
      <w:r w:rsidRPr="00962D54">
        <w:rPr>
          <w:rFonts w:cs="Arial"/>
        </w:rPr>
        <w:t>constitutionalisation</w:t>
      </w:r>
      <w:proofErr w:type="spellEnd"/>
      <w:r w:rsidRPr="00962D54">
        <w:rPr>
          <w:rFonts w:cs="Arial"/>
        </w:rPr>
        <w:t xml:space="preserve"> of administrative law, retracing especially the developments made in a series of cases beginning in the 1990s and culminating (so far) in the 2010 case of </w:t>
      </w:r>
      <w:r w:rsidRPr="00962D54">
        <w:rPr>
          <w:rFonts w:cs="Arial"/>
          <w:i/>
          <w:iCs/>
        </w:rPr>
        <w:t>Kirk</w:t>
      </w:r>
      <w:r w:rsidRPr="00962D54">
        <w:rPr>
          <w:rFonts w:cs="Arial"/>
        </w:rPr>
        <w:t>.</w:t>
      </w:r>
      <w:r w:rsidRPr="00962D54">
        <w:rPr>
          <w:rStyle w:val="EndnoteReference"/>
          <w:rFonts w:cs="Arial"/>
        </w:rPr>
        <w:endnoteReference w:id="11"/>
      </w:r>
      <w:r w:rsidRPr="00962D54">
        <w:rPr>
          <w:rFonts w:cs="Arial"/>
        </w:rPr>
        <w:t xml:space="preserve"> Part II highlight</w:t>
      </w:r>
      <w:r>
        <w:rPr>
          <w:rFonts w:cs="Arial"/>
        </w:rPr>
        <w:t>s</w:t>
      </w:r>
      <w:r w:rsidRPr="00962D54">
        <w:rPr>
          <w:rFonts w:cs="Arial"/>
        </w:rPr>
        <w:t xml:space="preserve"> the major issues emerging from this new constitutionalised administrative law, exploring amongst other things the centrality of jurisdictional error, the limits on qualitative judicial review, and the pervasive influence of the separation of powers doctrine. Finally,</w:t>
      </w:r>
      <w:r w:rsidR="009E5223">
        <w:rPr>
          <w:rFonts w:cs="Arial"/>
        </w:rPr>
        <w:t xml:space="preserve"> in</w:t>
      </w:r>
      <w:r w:rsidRPr="00962D54">
        <w:rPr>
          <w:rFonts w:cs="Arial"/>
        </w:rPr>
        <w:t xml:space="preserve"> Part I</w:t>
      </w:r>
      <w:r>
        <w:rPr>
          <w:rFonts w:cs="Arial"/>
        </w:rPr>
        <w:t>II</w:t>
      </w:r>
      <w:r w:rsidRPr="00962D54">
        <w:rPr>
          <w:rFonts w:cs="Arial"/>
        </w:rPr>
        <w:t xml:space="preserve"> </w:t>
      </w:r>
      <w:r>
        <w:rPr>
          <w:rFonts w:cs="Arial"/>
        </w:rPr>
        <w:t>I</w:t>
      </w:r>
      <w:r w:rsidRPr="00962D54">
        <w:rPr>
          <w:rFonts w:cs="Arial"/>
        </w:rPr>
        <w:t xml:space="preserve"> attempt to provide a solution to this stalemate – or at least suggest a paradigmatic shift that might move others to solve it – the crux of which is a multidisciplinary approach employing the various modes of constitutional interpretation to achieve more desirable, or at least </w:t>
      </w:r>
      <w:r>
        <w:rPr>
          <w:rFonts w:cs="Arial"/>
        </w:rPr>
        <w:t xml:space="preserve">more </w:t>
      </w:r>
      <w:r w:rsidRPr="00962D54">
        <w:rPr>
          <w:rFonts w:cs="Arial"/>
        </w:rPr>
        <w:t xml:space="preserve">flexible, doctrinal outcomes.       </w:t>
      </w:r>
    </w:p>
    <w:p w:rsidR="007D11A4" w:rsidRDefault="007D11A4" w:rsidP="007D11A4">
      <w:pPr>
        <w:spacing w:before="100" w:beforeAutospacing="1" w:after="100" w:afterAutospacing="1"/>
        <w:rPr>
          <w:rFonts w:cs="Arial"/>
          <w:b/>
          <w:bCs/>
        </w:rPr>
      </w:pPr>
      <w:r>
        <w:rPr>
          <w:rFonts w:cs="Arial"/>
          <w:b/>
          <w:bCs/>
        </w:rPr>
        <w:t>I   A brief history of modern administrative law</w:t>
      </w:r>
    </w:p>
    <w:p w:rsidR="007D11A4" w:rsidRDefault="007D11A4" w:rsidP="007D11A4">
      <w:pPr>
        <w:spacing w:before="100" w:beforeAutospacing="1" w:after="100" w:afterAutospacing="1"/>
        <w:rPr>
          <w:rFonts w:cs="Arial"/>
          <w:b/>
          <w:bCs/>
          <w:i/>
        </w:rPr>
      </w:pPr>
      <w:r w:rsidRPr="00962D54">
        <w:rPr>
          <w:rFonts w:cs="Arial"/>
          <w:b/>
          <w:bCs/>
          <w:i/>
        </w:rPr>
        <w:t xml:space="preserve">Pre-1970s: </w:t>
      </w:r>
      <w:r>
        <w:rPr>
          <w:rFonts w:cs="Arial"/>
          <w:b/>
          <w:bCs/>
          <w:i/>
        </w:rPr>
        <w:t>a</w:t>
      </w:r>
      <w:r w:rsidRPr="00962D54">
        <w:rPr>
          <w:rFonts w:cs="Arial"/>
          <w:b/>
          <w:bCs/>
          <w:i/>
        </w:rPr>
        <w:t xml:space="preserve"> </w:t>
      </w:r>
      <w:r>
        <w:rPr>
          <w:rFonts w:cs="Arial"/>
          <w:b/>
          <w:bCs/>
          <w:i/>
        </w:rPr>
        <w:t>c</w:t>
      </w:r>
      <w:r w:rsidRPr="00962D54">
        <w:rPr>
          <w:rFonts w:cs="Arial"/>
          <w:b/>
          <w:bCs/>
          <w:i/>
        </w:rPr>
        <w:t xml:space="preserve">ommon </w:t>
      </w:r>
      <w:r>
        <w:rPr>
          <w:rFonts w:cs="Arial"/>
          <w:b/>
          <w:bCs/>
          <w:i/>
        </w:rPr>
        <w:t>l</w:t>
      </w:r>
      <w:r w:rsidRPr="00962D54">
        <w:rPr>
          <w:rFonts w:cs="Arial"/>
          <w:b/>
          <w:bCs/>
          <w:i/>
        </w:rPr>
        <w:t xml:space="preserve">aw </w:t>
      </w:r>
      <w:r>
        <w:rPr>
          <w:rFonts w:cs="Arial"/>
          <w:b/>
          <w:bCs/>
          <w:i/>
        </w:rPr>
        <w:t>g</w:t>
      </w:r>
      <w:r w:rsidRPr="00962D54">
        <w:rPr>
          <w:rFonts w:cs="Arial"/>
          <w:b/>
          <w:bCs/>
          <w:i/>
        </w:rPr>
        <w:t>enesis</w:t>
      </w:r>
    </w:p>
    <w:p w:rsidR="007D11A4" w:rsidRDefault="007D11A4" w:rsidP="007D11A4">
      <w:pPr>
        <w:jc w:val="both"/>
        <w:rPr>
          <w:rFonts w:cs="Arial"/>
        </w:rPr>
      </w:pPr>
      <w:r>
        <w:rPr>
          <w:rFonts w:cs="Arial"/>
        </w:rPr>
        <w:t>F</w:t>
      </w:r>
      <w:r w:rsidRPr="00962D54">
        <w:rPr>
          <w:rFonts w:cs="Arial"/>
        </w:rPr>
        <w:t xml:space="preserve">or the better part of a century before the statutory reforms of the 1970s, the </w:t>
      </w:r>
      <w:r w:rsidRPr="00962D54">
        <w:rPr>
          <w:rFonts w:cs="Arial"/>
          <w:i/>
          <w:iCs/>
        </w:rPr>
        <w:t>Constitution</w:t>
      </w:r>
      <w:r w:rsidRPr="00962D54">
        <w:rPr>
          <w:rFonts w:cs="Arial"/>
        </w:rPr>
        <w:t xml:space="preserve"> was fully operational, </w:t>
      </w:r>
      <w:r>
        <w:rPr>
          <w:rFonts w:cs="Arial"/>
        </w:rPr>
        <w:t>including</w:t>
      </w:r>
      <w:r w:rsidRPr="00962D54">
        <w:rPr>
          <w:rFonts w:cs="Arial"/>
        </w:rPr>
        <w:t xml:space="preserve"> section 75(v) and the appearance of a structural separation of powers. Why, then, is the </w:t>
      </w:r>
      <w:r w:rsidRPr="00962D54">
        <w:rPr>
          <w:rFonts w:cs="Arial"/>
          <w:i/>
          <w:iCs/>
        </w:rPr>
        <w:t>Constitution</w:t>
      </w:r>
      <w:r w:rsidRPr="00962D54">
        <w:rPr>
          <w:rFonts w:cs="Arial"/>
        </w:rPr>
        <w:t xml:space="preserve"> seen to have a central influence on administrative law today when in this early period it simply informed the development of the common law in a general sense? The best answer is that, though the </w:t>
      </w:r>
      <w:r w:rsidRPr="00962D54">
        <w:rPr>
          <w:rFonts w:cs="Arial"/>
          <w:i/>
          <w:iCs/>
        </w:rPr>
        <w:t xml:space="preserve">Constitution </w:t>
      </w:r>
      <w:r w:rsidRPr="00962D54">
        <w:rPr>
          <w:rFonts w:cs="Arial"/>
        </w:rPr>
        <w:t xml:space="preserve">informed administrative law jurisprudence even in its formative years, the courts’ focus during this time was on </w:t>
      </w:r>
      <w:r>
        <w:rPr>
          <w:rFonts w:cs="Arial"/>
        </w:rPr>
        <w:br/>
      </w:r>
    </w:p>
    <w:p w:rsidR="007D11A4" w:rsidRDefault="007D11A4" w:rsidP="007D11A4">
      <w:pPr>
        <w:pBdr>
          <w:top w:val="single" w:sz="12" w:space="1" w:color="auto"/>
        </w:pBdr>
        <w:tabs>
          <w:tab w:val="left" w:pos="426"/>
        </w:tabs>
        <w:ind w:left="426" w:hanging="426"/>
        <w:jc w:val="both"/>
        <w:rPr>
          <w:rFonts w:cs="Arial"/>
          <w:i/>
          <w:sz w:val="20"/>
        </w:rPr>
      </w:pPr>
    </w:p>
    <w:p w:rsidR="007D11A4" w:rsidRPr="007D11A4" w:rsidRDefault="007D11A4" w:rsidP="007D11A4">
      <w:pPr>
        <w:pBdr>
          <w:top w:val="single" w:sz="12" w:space="1" w:color="auto"/>
        </w:pBdr>
        <w:tabs>
          <w:tab w:val="left" w:pos="426"/>
        </w:tabs>
        <w:ind w:left="426" w:hanging="426"/>
        <w:jc w:val="both"/>
        <w:rPr>
          <w:rFonts w:cs="Arial"/>
          <w:i/>
          <w:sz w:val="20"/>
        </w:rPr>
      </w:pPr>
      <w:r>
        <w:rPr>
          <w:rFonts w:cs="Arial"/>
          <w:i/>
          <w:sz w:val="20"/>
        </w:rPr>
        <w:t>*</w:t>
      </w:r>
      <w:r>
        <w:rPr>
          <w:rFonts w:cs="Arial"/>
          <w:i/>
          <w:sz w:val="20"/>
        </w:rPr>
        <w:tab/>
      </w:r>
      <w:r w:rsidRPr="007D11A4">
        <w:rPr>
          <w:rFonts w:cs="Arial"/>
          <w:i/>
          <w:sz w:val="20"/>
        </w:rPr>
        <w:t>Daniel Reynolds is a 6</w:t>
      </w:r>
      <w:r w:rsidRPr="007D11A4">
        <w:rPr>
          <w:rFonts w:cs="Arial"/>
          <w:i/>
          <w:sz w:val="20"/>
          <w:vertAlign w:val="superscript"/>
        </w:rPr>
        <w:t>th</w:t>
      </w:r>
      <w:r w:rsidRPr="007D11A4">
        <w:rPr>
          <w:rFonts w:cs="Arial"/>
          <w:i/>
          <w:sz w:val="20"/>
        </w:rPr>
        <w:t xml:space="preserve"> year Bachelor of International Studies / Bachelor of Laws student at the University of New South Wales.  He is the winner of the 2013 Australian Institute of Administrative Law </w:t>
      </w:r>
      <w:proofErr w:type="spellStart"/>
      <w:r w:rsidRPr="007D11A4">
        <w:rPr>
          <w:rFonts w:cs="Arial"/>
          <w:i/>
          <w:sz w:val="20"/>
        </w:rPr>
        <w:t>Inc</w:t>
      </w:r>
      <w:proofErr w:type="spellEnd"/>
      <w:r w:rsidRPr="007D11A4">
        <w:rPr>
          <w:rFonts w:cs="Arial"/>
          <w:i/>
          <w:sz w:val="20"/>
        </w:rPr>
        <w:t xml:space="preserve"> Essay Prize in Administrative Law. His thanks go to Greg Weeks at UNSW, in whose administrative law class he originally wrote this essay, and whose comments on an earlier draft were invaluable in producing the final version.</w:t>
      </w:r>
    </w:p>
    <w:p w:rsidR="007D11A4" w:rsidRPr="00962D54" w:rsidRDefault="007D11A4" w:rsidP="007D11A4">
      <w:pPr>
        <w:spacing w:before="100" w:beforeAutospacing="1" w:after="100" w:afterAutospacing="1"/>
        <w:jc w:val="both"/>
        <w:rPr>
          <w:rFonts w:cs="Arial"/>
        </w:rPr>
      </w:pPr>
      <w:proofErr w:type="gramStart"/>
      <w:r w:rsidRPr="00962D54">
        <w:rPr>
          <w:rFonts w:cs="Arial"/>
        </w:rPr>
        <w:lastRenderedPageBreak/>
        <w:t>adopting</w:t>
      </w:r>
      <w:proofErr w:type="gramEnd"/>
      <w:r w:rsidRPr="00962D54">
        <w:rPr>
          <w:rFonts w:cs="Arial"/>
        </w:rPr>
        <w:t xml:space="preserve"> and elaborating core doctrinal concepts, such as jurisdictional and non-jurisdictional error, natural justice,</w:t>
      </w:r>
      <w:r w:rsidRPr="00962D54">
        <w:rPr>
          <w:rFonts w:cs="Arial"/>
          <w:vertAlign w:val="superscript"/>
        </w:rPr>
        <w:endnoteReference w:id="12"/>
      </w:r>
      <w:r w:rsidRPr="00962D54">
        <w:rPr>
          <w:rFonts w:cs="Arial"/>
        </w:rPr>
        <w:t xml:space="preserve"> principles governing the exercise of discretion, and so on.</w:t>
      </w:r>
      <w:r w:rsidRPr="00962D54">
        <w:rPr>
          <w:rFonts w:cs="Arial"/>
          <w:vertAlign w:val="superscript"/>
        </w:rPr>
        <w:endnoteReference w:id="13"/>
      </w:r>
      <w:r w:rsidRPr="00962D54">
        <w:rPr>
          <w:rFonts w:cs="Arial"/>
        </w:rPr>
        <w:t xml:space="preserve"> These principles were firmly embedded in the common law</w:t>
      </w:r>
      <w:r w:rsidRPr="00962D54">
        <w:rPr>
          <w:rFonts w:cs="Arial"/>
          <w:vertAlign w:val="superscript"/>
        </w:rPr>
        <w:endnoteReference w:id="14"/>
      </w:r>
      <w:r w:rsidRPr="00962D54">
        <w:rPr>
          <w:rFonts w:cs="Arial"/>
        </w:rPr>
        <w:t xml:space="preserve"> rather than in any constitutional analysis and</w:t>
      </w:r>
      <w:r>
        <w:rPr>
          <w:rFonts w:cs="Arial"/>
        </w:rPr>
        <w:t>,</w:t>
      </w:r>
      <w:r w:rsidRPr="00962D54">
        <w:rPr>
          <w:rFonts w:cs="Arial"/>
        </w:rPr>
        <w:t xml:space="preserve"> indeed, ‘little progress’</w:t>
      </w:r>
      <w:r w:rsidRPr="00962D54">
        <w:rPr>
          <w:rFonts w:cs="Arial"/>
          <w:vertAlign w:val="superscript"/>
        </w:rPr>
        <w:endnoteReference w:id="15"/>
      </w:r>
      <w:r w:rsidRPr="00962D54">
        <w:rPr>
          <w:rFonts w:cs="Arial"/>
        </w:rPr>
        <w:t xml:space="preserve"> was made in the first period of the High Court’s life in resolving technical questions about remedies</w:t>
      </w:r>
      <w:r w:rsidRPr="00962D54">
        <w:rPr>
          <w:rFonts w:cs="Arial"/>
          <w:vertAlign w:val="superscript"/>
        </w:rPr>
        <w:endnoteReference w:id="16"/>
      </w:r>
      <w:r w:rsidRPr="00962D54">
        <w:rPr>
          <w:rFonts w:cs="Arial"/>
        </w:rPr>
        <w:t xml:space="preserve"> or the precise effect of section 75(v) on administrative law.</w:t>
      </w:r>
    </w:p>
    <w:p w:rsidR="007D11A4" w:rsidRPr="00962D54" w:rsidRDefault="007D11A4" w:rsidP="007D11A4">
      <w:pPr>
        <w:spacing w:before="100" w:beforeAutospacing="1" w:after="100" w:afterAutospacing="1"/>
        <w:rPr>
          <w:rFonts w:cs="Arial"/>
          <w:b/>
          <w:bCs/>
          <w:i/>
        </w:rPr>
      </w:pPr>
      <w:r w:rsidRPr="00962D54">
        <w:rPr>
          <w:rFonts w:cs="Arial"/>
          <w:b/>
          <w:bCs/>
          <w:i/>
        </w:rPr>
        <w:t xml:space="preserve">1970s and 1980s: </w:t>
      </w:r>
      <w:r>
        <w:rPr>
          <w:rFonts w:cs="Arial"/>
          <w:b/>
          <w:bCs/>
          <w:i/>
        </w:rPr>
        <w:t>t</w:t>
      </w:r>
      <w:r w:rsidRPr="00962D54">
        <w:rPr>
          <w:rFonts w:cs="Arial"/>
          <w:b/>
          <w:bCs/>
          <w:i/>
        </w:rPr>
        <w:t xml:space="preserve">he </w:t>
      </w:r>
      <w:r>
        <w:rPr>
          <w:rFonts w:cs="Arial"/>
          <w:b/>
          <w:bCs/>
          <w:i/>
        </w:rPr>
        <w:t>s</w:t>
      </w:r>
      <w:r w:rsidRPr="00962D54">
        <w:rPr>
          <w:rFonts w:cs="Arial"/>
          <w:b/>
          <w:bCs/>
          <w:i/>
        </w:rPr>
        <w:t xml:space="preserve">tatutory </w:t>
      </w:r>
      <w:r>
        <w:rPr>
          <w:rFonts w:cs="Arial"/>
          <w:b/>
          <w:bCs/>
          <w:i/>
        </w:rPr>
        <w:t>e</w:t>
      </w:r>
      <w:r w:rsidRPr="00962D54">
        <w:rPr>
          <w:rFonts w:cs="Arial"/>
          <w:b/>
          <w:bCs/>
          <w:i/>
        </w:rPr>
        <w:t>ra</w:t>
      </w:r>
    </w:p>
    <w:p w:rsidR="007D11A4" w:rsidRPr="00962D54" w:rsidRDefault="007D11A4" w:rsidP="007D11A4">
      <w:pPr>
        <w:spacing w:before="100" w:beforeAutospacing="1" w:after="100" w:afterAutospacing="1"/>
        <w:jc w:val="both"/>
        <w:rPr>
          <w:rFonts w:cs="Arial"/>
        </w:rPr>
      </w:pPr>
      <w:r w:rsidRPr="00962D54">
        <w:rPr>
          <w:rFonts w:cs="Arial"/>
        </w:rPr>
        <w:t>Prompted by the recommendations of the Kerr Committee,</w:t>
      </w:r>
      <w:r w:rsidRPr="00962D54">
        <w:rPr>
          <w:rFonts w:cs="Arial"/>
          <w:vertAlign w:val="superscript"/>
        </w:rPr>
        <w:endnoteReference w:id="17"/>
      </w:r>
      <w:r w:rsidRPr="00962D54">
        <w:rPr>
          <w:rFonts w:cs="Arial"/>
        </w:rPr>
        <w:t xml:space="preserve"> which argued that a more clearly delineated list of substantive grounds of review should be enacted in legislation,</w:t>
      </w:r>
      <w:r w:rsidRPr="00962D54">
        <w:rPr>
          <w:rFonts w:cs="Arial"/>
          <w:vertAlign w:val="superscript"/>
        </w:rPr>
        <w:endnoteReference w:id="18"/>
      </w:r>
      <w:r w:rsidRPr="00962D54">
        <w:rPr>
          <w:rFonts w:cs="Arial"/>
        </w:rPr>
        <w:t xml:space="preserve"> Federal Parliament spent much of the 1970s and 1980s rewriting Australia’s administrative law. With the advent of the </w:t>
      </w:r>
      <w:r w:rsidRPr="00962D54">
        <w:rPr>
          <w:rFonts w:cs="Arial"/>
          <w:i/>
          <w:iCs/>
        </w:rPr>
        <w:t>Administrative Decisions (Judicial Review</w:t>
      </w:r>
      <w:r>
        <w:rPr>
          <w:rFonts w:cs="Arial"/>
          <w:i/>
          <w:iCs/>
        </w:rPr>
        <w:t xml:space="preserve">) </w:t>
      </w:r>
      <w:r w:rsidRPr="00962D54">
        <w:rPr>
          <w:rFonts w:cs="Arial"/>
          <w:i/>
          <w:iCs/>
        </w:rPr>
        <w:t>Act 1977 (</w:t>
      </w:r>
      <w:proofErr w:type="spellStart"/>
      <w:r w:rsidRPr="00962D54">
        <w:rPr>
          <w:rFonts w:cs="Arial"/>
          <w:i/>
          <w:iCs/>
        </w:rPr>
        <w:t>Cth</w:t>
      </w:r>
      <w:proofErr w:type="spellEnd"/>
      <w:r w:rsidRPr="00962D54">
        <w:rPr>
          <w:rFonts w:cs="Arial"/>
          <w:i/>
          <w:iCs/>
        </w:rPr>
        <w:t>)</w:t>
      </w:r>
      <w:r>
        <w:rPr>
          <w:rFonts w:cs="Arial"/>
          <w:i/>
          <w:iCs/>
        </w:rPr>
        <w:t xml:space="preserve"> (ADJR)</w:t>
      </w:r>
      <w:r w:rsidRPr="00962D54">
        <w:rPr>
          <w:rFonts w:cs="Arial"/>
        </w:rPr>
        <w:t>, judicial review was re-oriented from remedies to grounds of review</w:t>
      </w:r>
      <w:r>
        <w:rPr>
          <w:rFonts w:cs="Arial"/>
        </w:rPr>
        <w:t xml:space="preserve"> and</w:t>
      </w:r>
      <w:r w:rsidRPr="00962D54">
        <w:rPr>
          <w:rFonts w:cs="Arial"/>
        </w:rPr>
        <w:t xml:space="preserve"> the availability of judicial review </w:t>
      </w:r>
      <w:r>
        <w:rPr>
          <w:rFonts w:cs="Arial"/>
        </w:rPr>
        <w:t>was</w:t>
      </w:r>
      <w:r w:rsidRPr="00962D54">
        <w:rPr>
          <w:rFonts w:cs="Arial"/>
        </w:rPr>
        <w:t xml:space="preserve"> redefined by reference to ‘decisions of an administrative nature made under an enactment’. The High Court appeared to be ‘in sympathy and in tune with the spirit of 1970s reforms’,</w:t>
      </w:r>
      <w:r w:rsidRPr="00962D54">
        <w:rPr>
          <w:rFonts w:cs="Arial"/>
          <w:vertAlign w:val="superscript"/>
        </w:rPr>
        <w:endnoteReference w:id="19"/>
      </w:r>
      <w:r w:rsidRPr="00962D54">
        <w:rPr>
          <w:rFonts w:cs="Arial"/>
        </w:rPr>
        <w:t xml:space="preserve"> abandoning in large part its technicality-centred reasoning for a more substantive, socially alert jurisprudence. This can be seen, for instance, in its keen interest in natural justice, or the battle lines drawn through the controversial new doctrine of legitimate expectations</w:t>
      </w:r>
      <w:r w:rsidRPr="00962D54">
        <w:rPr>
          <w:rFonts w:cs="Arial"/>
          <w:vertAlign w:val="superscript"/>
        </w:rPr>
        <w:endnoteReference w:id="20"/>
      </w:r>
      <w:r w:rsidRPr="00962D54">
        <w:rPr>
          <w:rFonts w:cs="Arial"/>
        </w:rPr>
        <w:t xml:space="preserve"> and</w:t>
      </w:r>
      <w:r>
        <w:rPr>
          <w:rFonts w:cs="Arial"/>
        </w:rPr>
        <w:t>,</w:t>
      </w:r>
      <w:r w:rsidRPr="00962D54">
        <w:rPr>
          <w:rFonts w:cs="Arial"/>
        </w:rPr>
        <w:t xml:space="preserve">  more generally, the court’s activity during this time has been described (often pejoratively) as ‘judicial activism’.</w:t>
      </w:r>
      <w:r w:rsidRPr="00962D54">
        <w:rPr>
          <w:rStyle w:val="EndnoteReference"/>
          <w:rFonts w:cs="Arial"/>
        </w:rPr>
        <w:endnoteReference w:id="21"/>
      </w:r>
      <w:r w:rsidRPr="00962D54">
        <w:rPr>
          <w:rFonts w:cs="Arial"/>
        </w:rPr>
        <w:t xml:space="preserve"> </w:t>
      </w:r>
    </w:p>
    <w:p w:rsidR="007D11A4" w:rsidRPr="00962D54" w:rsidRDefault="007D11A4" w:rsidP="007D11A4">
      <w:pPr>
        <w:spacing w:before="100" w:beforeAutospacing="1" w:after="100" w:afterAutospacing="1"/>
        <w:jc w:val="both"/>
        <w:rPr>
          <w:rFonts w:cs="Arial"/>
        </w:rPr>
      </w:pPr>
      <w:r w:rsidRPr="00962D54">
        <w:rPr>
          <w:rFonts w:cs="Arial"/>
        </w:rPr>
        <w:t>In 1983</w:t>
      </w:r>
      <w:r>
        <w:rPr>
          <w:rFonts w:cs="Arial"/>
        </w:rPr>
        <w:t>,</w:t>
      </w:r>
      <w:r w:rsidRPr="00962D54">
        <w:rPr>
          <w:rFonts w:cs="Arial"/>
        </w:rPr>
        <w:t xml:space="preserve"> an amendment was made to the </w:t>
      </w:r>
      <w:r w:rsidRPr="00962D54">
        <w:rPr>
          <w:rFonts w:cs="Arial"/>
          <w:i/>
          <w:iCs/>
        </w:rPr>
        <w:t>Judiciary Act 1903 (</w:t>
      </w:r>
      <w:proofErr w:type="spellStart"/>
      <w:r w:rsidRPr="00962D54">
        <w:rPr>
          <w:rFonts w:cs="Arial"/>
          <w:i/>
          <w:iCs/>
        </w:rPr>
        <w:t>Cth</w:t>
      </w:r>
      <w:proofErr w:type="spellEnd"/>
      <w:r w:rsidRPr="00962D54">
        <w:rPr>
          <w:rFonts w:cs="Arial"/>
          <w:i/>
          <w:iCs/>
        </w:rPr>
        <w:t xml:space="preserve">) </w:t>
      </w:r>
      <w:r w:rsidRPr="00962D54">
        <w:rPr>
          <w:rFonts w:cs="Arial"/>
        </w:rPr>
        <w:t>granting the Federal Court a statutory jurisdiction that mirrored the original jurisdiction conferred on the High Court for judicial review of administrative decisions.</w:t>
      </w:r>
      <w:r w:rsidRPr="00962D54">
        <w:rPr>
          <w:rFonts w:cs="Arial"/>
          <w:vertAlign w:val="superscript"/>
        </w:rPr>
        <w:endnoteReference w:id="22"/>
      </w:r>
      <w:r w:rsidRPr="00962D54">
        <w:rPr>
          <w:rFonts w:cs="Arial"/>
        </w:rPr>
        <w:t xml:space="preserve"> The system worked more or less harmoniously for the following decade, with the majority of administrative law litigation proceeding under the </w:t>
      </w:r>
      <w:r w:rsidRPr="00962D54">
        <w:rPr>
          <w:rFonts w:cs="Arial"/>
          <w:i/>
          <w:iCs/>
        </w:rPr>
        <w:t>ADJR Act</w:t>
      </w:r>
      <w:r>
        <w:rPr>
          <w:rFonts w:cs="Arial"/>
        </w:rPr>
        <w:t>;</w:t>
      </w:r>
      <w:r w:rsidRPr="00962D54">
        <w:rPr>
          <w:rFonts w:cs="Arial"/>
        </w:rPr>
        <w:t xml:space="preserve"> </w:t>
      </w:r>
      <w:r>
        <w:rPr>
          <w:rFonts w:cs="Arial"/>
        </w:rPr>
        <w:t>however,</w:t>
      </w:r>
      <w:r w:rsidRPr="00962D54">
        <w:rPr>
          <w:rFonts w:cs="Arial"/>
        </w:rPr>
        <w:t xml:space="preserve"> </w:t>
      </w:r>
      <w:r>
        <w:rPr>
          <w:rFonts w:cs="Arial"/>
        </w:rPr>
        <w:t>b</w:t>
      </w:r>
      <w:r w:rsidRPr="00962D54">
        <w:rPr>
          <w:rFonts w:cs="Arial"/>
        </w:rPr>
        <w:t>y 1992, Parliament had taken the view that the Federal Court was exercising its judicial review jurisdiction in the context of migration decision-making somewhat over-zealously.</w:t>
      </w:r>
      <w:r w:rsidRPr="00962D54">
        <w:rPr>
          <w:rFonts w:cs="Arial"/>
          <w:vertAlign w:val="superscript"/>
        </w:rPr>
        <w:endnoteReference w:id="23"/>
      </w:r>
      <w:r w:rsidRPr="00962D54">
        <w:rPr>
          <w:rFonts w:cs="Arial"/>
        </w:rPr>
        <w:t xml:space="preserve"> In response, it created a cluster of merits review tribunals to assume some of the court</w:t>
      </w:r>
      <w:r w:rsidR="009E5223">
        <w:rPr>
          <w:rFonts w:cs="Arial"/>
        </w:rPr>
        <w:t>’</w:t>
      </w:r>
      <w:r w:rsidRPr="00962D54">
        <w:rPr>
          <w:rFonts w:cs="Arial"/>
        </w:rPr>
        <w:t>s caseload</w:t>
      </w:r>
      <w:r w:rsidRPr="00962D54">
        <w:rPr>
          <w:rFonts w:cs="Arial"/>
          <w:vertAlign w:val="superscript"/>
        </w:rPr>
        <w:endnoteReference w:id="24"/>
      </w:r>
      <w:r w:rsidRPr="00962D54">
        <w:rPr>
          <w:rFonts w:cs="Arial"/>
        </w:rPr>
        <w:t xml:space="preserve"> </w:t>
      </w:r>
      <w:r>
        <w:rPr>
          <w:rFonts w:cs="Arial"/>
        </w:rPr>
        <w:t>and, in 1995,</w:t>
      </w:r>
      <w:r w:rsidRPr="00962D54">
        <w:rPr>
          <w:rFonts w:cs="Arial"/>
        </w:rPr>
        <w:t xml:space="preserve"> limit</w:t>
      </w:r>
      <w:r>
        <w:rPr>
          <w:rFonts w:cs="Arial"/>
        </w:rPr>
        <w:t>ed</w:t>
      </w:r>
      <w:r w:rsidRPr="00962D54">
        <w:rPr>
          <w:rFonts w:cs="Arial"/>
        </w:rPr>
        <w:t xml:space="preserve"> the Federal Court’s jurisdiction to review </w:t>
      </w:r>
      <w:r>
        <w:rPr>
          <w:rFonts w:cs="Arial"/>
        </w:rPr>
        <w:t xml:space="preserve">of </w:t>
      </w:r>
      <w:r w:rsidRPr="00962D54">
        <w:rPr>
          <w:rFonts w:cs="Arial"/>
        </w:rPr>
        <w:t>migration decisions generally.</w:t>
      </w:r>
      <w:r w:rsidRPr="00962D54">
        <w:rPr>
          <w:rStyle w:val="EndnoteReference"/>
          <w:rFonts w:cs="Arial"/>
        </w:rPr>
        <w:endnoteReference w:id="25"/>
      </w:r>
      <w:r w:rsidRPr="00962D54">
        <w:rPr>
          <w:rFonts w:cs="Arial"/>
        </w:rPr>
        <w:t xml:space="preserve"> With Federal Court judicial review severely curtailed by the early 1990s amendments and the field of operation of the </w:t>
      </w:r>
      <w:r w:rsidRPr="00962D54">
        <w:rPr>
          <w:rFonts w:cs="Arial"/>
          <w:i/>
          <w:iCs/>
        </w:rPr>
        <w:t>ADJR Act</w:t>
      </w:r>
      <w:r w:rsidRPr="00962D54">
        <w:rPr>
          <w:rFonts w:cs="Arial"/>
        </w:rPr>
        <w:t xml:space="preserve"> narrowed by judicial interpretation</w:t>
      </w:r>
      <w:r w:rsidRPr="00962D54">
        <w:rPr>
          <w:rFonts w:cs="Arial"/>
          <w:vertAlign w:val="superscript"/>
        </w:rPr>
        <w:endnoteReference w:id="26"/>
      </w:r>
      <w:r w:rsidRPr="00962D54">
        <w:rPr>
          <w:rFonts w:cs="Arial"/>
        </w:rPr>
        <w:t xml:space="preserve"> and legislative amendment,</w:t>
      </w:r>
      <w:r w:rsidRPr="00962D54">
        <w:rPr>
          <w:rFonts w:cs="Arial"/>
          <w:vertAlign w:val="superscript"/>
        </w:rPr>
        <w:endnoteReference w:id="27"/>
      </w:r>
      <w:r w:rsidRPr="00962D54">
        <w:rPr>
          <w:rFonts w:cs="Arial"/>
        </w:rPr>
        <w:t xml:space="preserve"> interest began to rekindle in the only avenue of judicial review to remain unaffected by the suite of reforms – the original jurisdiction of the High Court under section 75(v).</w:t>
      </w:r>
      <w:r w:rsidRPr="00962D54">
        <w:rPr>
          <w:rStyle w:val="EndnoteReference"/>
          <w:rFonts w:cs="Arial"/>
        </w:rPr>
        <w:endnoteReference w:id="28"/>
      </w:r>
      <w:r w:rsidRPr="00962D54">
        <w:rPr>
          <w:rFonts w:cs="Arial"/>
        </w:rPr>
        <w:t xml:space="preserve">     </w:t>
      </w:r>
    </w:p>
    <w:p w:rsidR="007D11A4" w:rsidRPr="00962D54" w:rsidRDefault="007D11A4" w:rsidP="007D11A4">
      <w:pPr>
        <w:spacing w:before="100" w:beforeAutospacing="1" w:after="100" w:afterAutospacing="1"/>
        <w:rPr>
          <w:rFonts w:cs="Arial"/>
          <w:b/>
          <w:bCs/>
          <w:i/>
        </w:rPr>
      </w:pPr>
      <w:r w:rsidRPr="00962D54">
        <w:rPr>
          <w:rFonts w:cs="Arial"/>
          <w:b/>
          <w:bCs/>
          <w:i/>
        </w:rPr>
        <w:t xml:space="preserve">1990: </w:t>
      </w:r>
      <w:r w:rsidRPr="00962D54">
        <w:rPr>
          <w:rFonts w:cs="Arial"/>
          <w:b/>
          <w:bCs/>
          <w:i/>
          <w:iCs/>
        </w:rPr>
        <w:t>Quin’s</w:t>
      </w:r>
      <w:r w:rsidRPr="00962D54">
        <w:rPr>
          <w:rFonts w:cs="Arial"/>
          <w:b/>
          <w:bCs/>
          <w:i/>
        </w:rPr>
        <w:t xml:space="preserve"> Case – </w:t>
      </w:r>
      <w:r>
        <w:rPr>
          <w:rFonts w:cs="Arial"/>
          <w:b/>
          <w:bCs/>
          <w:i/>
        </w:rPr>
        <w:t>t</w:t>
      </w:r>
      <w:r w:rsidRPr="00962D54">
        <w:rPr>
          <w:rFonts w:cs="Arial"/>
          <w:b/>
          <w:bCs/>
          <w:i/>
        </w:rPr>
        <w:t xml:space="preserve">he </w:t>
      </w:r>
      <w:r>
        <w:rPr>
          <w:rFonts w:cs="Arial"/>
          <w:b/>
          <w:bCs/>
          <w:i/>
        </w:rPr>
        <w:t>d</w:t>
      </w:r>
      <w:r w:rsidRPr="00962D54">
        <w:rPr>
          <w:rFonts w:cs="Arial"/>
          <w:b/>
          <w:bCs/>
          <w:i/>
        </w:rPr>
        <w:t xml:space="preserve">uty of </w:t>
      </w:r>
      <w:r>
        <w:rPr>
          <w:rFonts w:cs="Arial"/>
          <w:b/>
          <w:bCs/>
          <w:i/>
        </w:rPr>
        <w:t>c</w:t>
      </w:r>
      <w:r w:rsidRPr="00962D54">
        <w:rPr>
          <w:rFonts w:cs="Arial"/>
          <w:b/>
          <w:bCs/>
          <w:i/>
        </w:rPr>
        <w:t xml:space="preserve">ourts is to </w:t>
      </w:r>
      <w:r>
        <w:rPr>
          <w:rFonts w:cs="Arial"/>
          <w:b/>
          <w:bCs/>
          <w:i/>
        </w:rPr>
        <w:t>d</w:t>
      </w:r>
      <w:r w:rsidRPr="00962D54">
        <w:rPr>
          <w:rFonts w:cs="Arial"/>
          <w:b/>
          <w:bCs/>
          <w:i/>
        </w:rPr>
        <w:t xml:space="preserve">eclare the </w:t>
      </w:r>
      <w:r>
        <w:rPr>
          <w:rFonts w:cs="Arial"/>
          <w:b/>
          <w:bCs/>
          <w:i/>
        </w:rPr>
        <w:t>l</w:t>
      </w:r>
      <w:r w:rsidRPr="00962D54">
        <w:rPr>
          <w:rFonts w:cs="Arial"/>
          <w:b/>
          <w:bCs/>
          <w:i/>
        </w:rPr>
        <w:t xml:space="preserve">imits of </w:t>
      </w:r>
      <w:r>
        <w:rPr>
          <w:rFonts w:cs="Arial"/>
          <w:b/>
          <w:bCs/>
          <w:i/>
        </w:rPr>
        <w:t>e</w:t>
      </w:r>
      <w:r w:rsidRPr="00962D54">
        <w:rPr>
          <w:rFonts w:cs="Arial"/>
          <w:b/>
          <w:bCs/>
          <w:i/>
        </w:rPr>
        <w:t xml:space="preserve">xecutive </w:t>
      </w:r>
      <w:r>
        <w:rPr>
          <w:rFonts w:cs="Arial"/>
          <w:b/>
          <w:bCs/>
          <w:i/>
        </w:rPr>
        <w:t>p</w:t>
      </w:r>
      <w:r w:rsidRPr="00962D54">
        <w:rPr>
          <w:rFonts w:cs="Arial"/>
          <w:b/>
          <w:bCs/>
          <w:i/>
        </w:rPr>
        <w:t>ower</w:t>
      </w:r>
    </w:p>
    <w:p w:rsidR="007D11A4" w:rsidRPr="00962D54" w:rsidRDefault="007D11A4" w:rsidP="007D11A4">
      <w:pPr>
        <w:spacing w:before="100" w:beforeAutospacing="1" w:after="100" w:afterAutospacing="1"/>
        <w:jc w:val="both"/>
        <w:rPr>
          <w:rFonts w:cs="Arial"/>
        </w:rPr>
      </w:pPr>
      <w:r w:rsidRPr="00962D54">
        <w:rPr>
          <w:rFonts w:cs="Arial"/>
        </w:rPr>
        <w:t xml:space="preserve">It is in this legislative context that we see the first of four cases that have most directly paved the way for the </w:t>
      </w:r>
      <w:proofErr w:type="spellStart"/>
      <w:r w:rsidRPr="00962D54">
        <w:rPr>
          <w:rFonts w:cs="Arial"/>
        </w:rPr>
        <w:t>constitutionalisation</w:t>
      </w:r>
      <w:proofErr w:type="spellEnd"/>
      <w:r w:rsidRPr="00962D54">
        <w:rPr>
          <w:rFonts w:cs="Arial"/>
        </w:rPr>
        <w:t xml:space="preserve"> of administrative law. </w:t>
      </w:r>
      <w:r w:rsidRPr="00962D54">
        <w:rPr>
          <w:rFonts w:cs="Arial"/>
          <w:i/>
          <w:iCs/>
        </w:rPr>
        <w:t>Quin’s</w:t>
      </w:r>
      <w:r w:rsidRPr="00962D54">
        <w:rPr>
          <w:rFonts w:cs="Arial"/>
        </w:rPr>
        <w:t xml:space="preserve"> case</w:t>
      </w:r>
      <w:r w:rsidRPr="00962D54">
        <w:rPr>
          <w:rStyle w:val="EndnoteReference"/>
          <w:rFonts w:cs="Arial"/>
        </w:rPr>
        <w:endnoteReference w:id="29"/>
      </w:r>
      <w:r w:rsidRPr="00962D54">
        <w:rPr>
          <w:rFonts w:cs="Arial"/>
        </w:rPr>
        <w:t xml:space="preserve"> is famous for all the wrong reasons, being a case which, on the facts, purported to deal with the issue of judicial tenure in the context of the overhaul of the outmoded Court of Petty Sessions</w:t>
      </w:r>
      <w:r>
        <w:rPr>
          <w:rFonts w:cs="Arial"/>
        </w:rPr>
        <w:t>;</w:t>
      </w:r>
      <w:r w:rsidRPr="00962D54">
        <w:rPr>
          <w:rFonts w:cs="Arial"/>
        </w:rPr>
        <w:t xml:space="preserve"> </w:t>
      </w:r>
      <w:r>
        <w:rPr>
          <w:rFonts w:cs="Arial"/>
        </w:rPr>
        <w:t>y</w:t>
      </w:r>
      <w:r w:rsidRPr="00962D54">
        <w:rPr>
          <w:rFonts w:cs="Arial"/>
        </w:rPr>
        <w:t>et</w:t>
      </w:r>
      <w:r>
        <w:rPr>
          <w:rFonts w:cs="Arial"/>
        </w:rPr>
        <w:t>,</w:t>
      </w:r>
      <w:r w:rsidRPr="00962D54">
        <w:rPr>
          <w:rFonts w:cs="Arial"/>
        </w:rPr>
        <w:t xml:space="preserve"> in rejecting the plaintiff’s claim that, by reason of natural justice, he was entitled to be re-appointed in the newly formed Local Court of NSW, Justice Brennan made a number of remarks which were rapidly</w:t>
      </w:r>
      <w:r>
        <w:rPr>
          <w:rFonts w:cs="Arial"/>
        </w:rPr>
        <w:t xml:space="preserve"> to</w:t>
      </w:r>
      <w:r w:rsidRPr="00962D54">
        <w:rPr>
          <w:rFonts w:cs="Arial"/>
        </w:rPr>
        <w:t xml:space="preserve"> attain canonical status in Australian administrative law. Most memorably, he held that:  </w:t>
      </w:r>
    </w:p>
    <w:p w:rsidR="007D11A4" w:rsidRPr="00962D54" w:rsidRDefault="007D11A4" w:rsidP="007D11A4">
      <w:pPr>
        <w:pStyle w:val="Quote1"/>
      </w:pPr>
      <w:r w:rsidRPr="00962D54">
        <w:t xml:space="preserve">The duty and the jurisdiction of the courts are expressed in the memorable words of Marshall CJ in </w:t>
      </w:r>
      <w:r w:rsidRPr="00962D54">
        <w:rPr>
          <w:i/>
          <w:iCs/>
        </w:rPr>
        <w:t>Marbury v Madison</w:t>
      </w:r>
      <w:r w:rsidRPr="00962D54">
        <w:rPr>
          <w:rStyle w:val="EndnoteReference"/>
          <w:rFonts w:cs="Arial"/>
          <w:i/>
          <w:iCs/>
          <w:szCs w:val="18"/>
        </w:rPr>
        <w:endnoteReference w:id="30"/>
      </w:r>
      <w:r w:rsidRPr="00962D54">
        <w:t>; ‘It is, emphatically, the province and duty of the judicial department to say what the law is.’ The duty and jurisdiction of the court to review administrative action do not go beyond the declaration and enforcing of the law which determines the limits and governs the exercise of the repository's power.</w:t>
      </w:r>
      <w:r w:rsidRPr="00962D54">
        <w:rPr>
          <w:rStyle w:val="EndnoteReference"/>
          <w:rFonts w:cs="Arial"/>
          <w:szCs w:val="18"/>
        </w:rPr>
        <w:endnoteReference w:id="31"/>
      </w:r>
    </w:p>
    <w:p w:rsidR="007D11A4" w:rsidRPr="00962D54" w:rsidRDefault="007D11A4" w:rsidP="007D11A4">
      <w:pPr>
        <w:spacing w:before="100" w:beforeAutospacing="1" w:after="100" w:afterAutospacing="1"/>
        <w:jc w:val="both"/>
        <w:rPr>
          <w:rFonts w:cs="Arial"/>
        </w:rPr>
      </w:pPr>
      <w:r w:rsidRPr="00962D54">
        <w:rPr>
          <w:rFonts w:cs="Arial"/>
        </w:rPr>
        <w:t xml:space="preserve">A number of points emerge from this </w:t>
      </w:r>
      <w:proofErr w:type="gramStart"/>
      <w:r w:rsidRPr="00962D54">
        <w:rPr>
          <w:rFonts w:cs="Arial"/>
          <w:i/>
          <w:iCs/>
        </w:rPr>
        <w:t>Qui</w:t>
      </w:r>
      <w:r w:rsidRPr="00962D54">
        <w:rPr>
          <w:rFonts w:cs="Arial"/>
          <w:i/>
          <w:iCs/>
          <w:spacing w:val="20"/>
          <w:kern w:val="22"/>
        </w:rPr>
        <w:t>n</w:t>
      </w:r>
      <w:r w:rsidRPr="00962D54">
        <w:rPr>
          <w:rFonts w:cs="Arial"/>
        </w:rPr>
        <w:t>tessential</w:t>
      </w:r>
      <w:proofErr w:type="gramEnd"/>
      <w:r w:rsidRPr="00962D54">
        <w:rPr>
          <w:rFonts w:cs="Arial"/>
        </w:rPr>
        <w:t xml:space="preserve"> dictum. First, Justice Brennan’s great insight was to recognise in </w:t>
      </w:r>
      <w:proofErr w:type="spellStart"/>
      <w:r w:rsidRPr="00962D54">
        <w:rPr>
          <w:rFonts w:cs="Arial"/>
          <w:i/>
          <w:iCs/>
        </w:rPr>
        <w:t>Marbury</w:t>
      </w:r>
      <w:proofErr w:type="spellEnd"/>
      <w:r w:rsidRPr="00962D54">
        <w:rPr>
          <w:rFonts w:cs="Arial"/>
          <w:i/>
          <w:iCs/>
        </w:rPr>
        <w:t xml:space="preserve"> v Madison</w:t>
      </w:r>
      <w:r w:rsidRPr="00962D54">
        <w:rPr>
          <w:rFonts w:cs="Arial"/>
        </w:rPr>
        <w:t xml:space="preserve"> a broader principle of the rule of law and to </w:t>
      </w:r>
      <w:r w:rsidRPr="00962D54">
        <w:rPr>
          <w:rFonts w:cs="Arial"/>
        </w:rPr>
        <w:lastRenderedPageBreak/>
        <w:t>apply that principle as the foundation of judicial review generally.</w:t>
      </w:r>
      <w:r w:rsidRPr="00962D54">
        <w:rPr>
          <w:rFonts w:cs="Arial"/>
          <w:vertAlign w:val="superscript"/>
        </w:rPr>
        <w:endnoteReference w:id="32"/>
      </w:r>
      <w:r w:rsidRPr="00962D54">
        <w:rPr>
          <w:rFonts w:cs="Arial"/>
        </w:rPr>
        <w:t xml:space="preserve"> Second, the focus of judicial review here is directed </w:t>
      </w:r>
      <w:r>
        <w:rPr>
          <w:rFonts w:cs="Arial"/>
        </w:rPr>
        <w:t>at</w:t>
      </w:r>
      <w:r w:rsidRPr="00962D54">
        <w:rPr>
          <w:rFonts w:cs="Arial"/>
        </w:rPr>
        <w:t xml:space="preserve"> the conduct of decision-makers rather than the effect such conduct may have on persons aggrieved by their decisions.</w:t>
      </w:r>
      <w:r w:rsidRPr="00962D54">
        <w:rPr>
          <w:rFonts w:cs="Arial"/>
          <w:vertAlign w:val="superscript"/>
        </w:rPr>
        <w:endnoteReference w:id="33"/>
      </w:r>
      <w:r w:rsidRPr="00962D54">
        <w:rPr>
          <w:rFonts w:cs="Arial"/>
        </w:rPr>
        <w:t xml:space="preserve"> Third, it is well-documented that Brennan J was already sceptical of doctrines like </w:t>
      </w:r>
      <w:proofErr w:type="spellStart"/>
      <w:r w:rsidRPr="00962D54">
        <w:rPr>
          <w:rFonts w:cs="Arial"/>
          <w:i/>
          <w:iCs/>
        </w:rPr>
        <w:t>Wednesbury</w:t>
      </w:r>
      <w:proofErr w:type="spellEnd"/>
      <w:r w:rsidRPr="00962D54">
        <w:rPr>
          <w:rFonts w:cs="Arial"/>
        </w:rPr>
        <w:t xml:space="preserve"> unreasonableness, </w:t>
      </w:r>
      <w:r>
        <w:rPr>
          <w:rFonts w:cs="Arial"/>
        </w:rPr>
        <w:t xml:space="preserve">it </w:t>
      </w:r>
      <w:r w:rsidRPr="00962D54">
        <w:rPr>
          <w:rFonts w:cs="Arial"/>
        </w:rPr>
        <w:t>being too proximate for his liking to merits review and</w:t>
      </w:r>
      <w:r>
        <w:rPr>
          <w:rFonts w:cs="Arial"/>
        </w:rPr>
        <w:t>,</w:t>
      </w:r>
      <w:r w:rsidRPr="00962D54">
        <w:rPr>
          <w:rFonts w:cs="Arial"/>
        </w:rPr>
        <w:t xml:space="preserve"> in this sense</w:t>
      </w:r>
      <w:r>
        <w:rPr>
          <w:rFonts w:cs="Arial"/>
        </w:rPr>
        <w:t>,</w:t>
      </w:r>
      <w:r w:rsidRPr="00962D54">
        <w:rPr>
          <w:rFonts w:cs="Arial"/>
        </w:rPr>
        <w:t xml:space="preserve"> the judgment in </w:t>
      </w:r>
      <w:r w:rsidRPr="00962D54">
        <w:rPr>
          <w:rFonts w:cs="Arial"/>
          <w:i/>
          <w:iCs/>
        </w:rPr>
        <w:t>Quin</w:t>
      </w:r>
      <w:r w:rsidRPr="00962D54">
        <w:rPr>
          <w:rFonts w:cs="Arial"/>
        </w:rPr>
        <w:t xml:space="preserve"> is simply the natural conclusion that had been impending for years prior.</w:t>
      </w:r>
      <w:r w:rsidRPr="00962D54">
        <w:rPr>
          <w:rFonts w:cs="Arial"/>
          <w:vertAlign w:val="superscript"/>
        </w:rPr>
        <w:endnoteReference w:id="34"/>
      </w:r>
      <w:r w:rsidRPr="00962D54">
        <w:rPr>
          <w:rFonts w:cs="Arial"/>
        </w:rPr>
        <w:t xml:space="preserve"> Fourth, and implicit in the above three points, Justice Brennan’s view is intimately connected with the notion of separation of powers</w:t>
      </w:r>
      <w:r>
        <w:rPr>
          <w:rFonts w:cs="Arial"/>
        </w:rPr>
        <w:t>;</w:t>
      </w:r>
      <w:r w:rsidRPr="00962D54">
        <w:rPr>
          <w:rFonts w:cs="Arial"/>
        </w:rPr>
        <w:t xml:space="preserve"> this theme will be of central importance in this paper. Finally, as Groves points out, it is noteworthy that though the judgment is replete with constitutional </w:t>
      </w:r>
      <w:r w:rsidRPr="00962D54">
        <w:rPr>
          <w:rFonts w:cs="Arial"/>
          <w:i/>
          <w:iCs/>
        </w:rPr>
        <w:t>ideas</w:t>
      </w:r>
      <w:r w:rsidRPr="00962D54">
        <w:rPr>
          <w:rFonts w:cs="Arial"/>
        </w:rPr>
        <w:t xml:space="preserve">, it is devoid of any references to the </w:t>
      </w:r>
      <w:r w:rsidRPr="00962D54">
        <w:rPr>
          <w:rFonts w:cs="Arial"/>
          <w:i/>
          <w:iCs/>
        </w:rPr>
        <w:t>Constitution</w:t>
      </w:r>
      <w:r w:rsidRPr="00962D54">
        <w:rPr>
          <w:rFonts w:cs="Arial"/>
        </w:rPr>
        <w:t xml:space="preserve"> itself.</w:t>
      </w:r>
      <w:r w:rsidRPr="00962D54">
        <w:rPr>
          <w:rStyle w:val="EndnoteReference"/>
          <w:rFonts w:cs="Arial"/>
        </w:rPr>
        <w:endnoteReference w:id="35"/>
      </w:r>
      <w:r w:rsidRPr="00962D54">
        <w:rPr>
          <w:rFonts w:cs="Arial"/>
        </w:rPr>
        <w:t xml:space="preserve"> Nonetheless, the groundwork for the cases to come was decisively laid at this point. </w:t>
      </w:r>
    </w:p>
    <w:p w:rsidR="007D11A4" w:rsidRPr="00962D54" w:rsidRDefault="007D11A4" w:rsidP="007D11A4">
      <w:pPr>
        <w:spacing w:before="100" w:beforeAutospacing="1" w:after="100" w:afterAutospacing="1"/>
        <w:rPr>
          <w:rFonts w:cs="Arial"/>
          <w:b/>
          <w:bCs/>
          <w:i/>
        </w:rPr>
      </w:pPr>
      <w:r w:rsidRPr="00962D54">
        <w:rPr>
          <w:rFonts w:cs="Arial"/>
          <w:b/>
          <w:bCs/>
          <w:i/>
        </w:rPr>
        <w:t xml:space="preserve">2000: </w:t>
      </w:r>
      <w:proofErr w:type="spellStart"/>
      <w:r w:rsidRPr="00962D54">
        <w:rPr>
          <w:rFonts w:cs="Arial"/>
          <w:b/>
          <w:bCs/>
          <w:i/>
          <w:iCs/>
        </w:rPr>
        <w:t>Aala’s</w:t>
      </w:r>
      <w:proofErr w:type="spellEnd"/>
      <w:r w:rsidRPr="00962D54">
        <w:rPr>
          <w:rFonts w:cs="Arial"/>
          <w:b/>
          <w:bCs/>
          <w:i/>
        </w:rPr>
        <w:t xml:space="preserve"> Case – constitutional writs and jurisdictional error</w:t>
      </w:r>
    </w:p>
    <w:p w:rsidR="007D11A4" w:rsidRPr="00962D54" w:rsidRDefault="007D11A4" w:rsidP="007D11A4">
      <w:pPr>
        <w:spacing w:before="100" w:beforeAutospacing="1" w:after="100" w:afterAutospacing="1"/>
        <w:jc w:val="both"/>
        <w:rPr>
          <w:rFonts w:cs="Arial"/>
        </w:rPr>
      </w:pPr>
      <w:r w:rsidRPr="00962D54">
        <w:rPr>
          <w:rFonts w:cs="Arial"/>
        </w:rPr>
        <w:t xml:space="preserve">In </w:t>
      </w:r>
      <w:proofErr w:type="spellStart"/>
      <w:r w:rsidRPr="00962D54">
        <w:rPr>
          <w:rFonts w:cs="Arial"/>
          <w:i/>
          <w:iCs/>
        </w:rPr>
        <w:t>Aala</w:t>
      </w:r>
      <w:proofErr w:type="spellEnd"/>
      <w:r w:rsidRPr="00962D54">
        <w:rPr>
          <w:rFonts w:cs="Arial"/>
        </w:rPr>
        <w:t>,</w:t>
      </w:r>
      <w:r w:rsidRPr="00962D54">
        <w:rPr>
          <w:rStyle w:val="EndnoteReference"/>
          <w:rFonts w:cs="Arial"/>
        </w:rPr>
        <w:endnoteReference w:id="36"/>
      </w:r>
      <w:r w:rsidRPr="00962D54">
        <w:rPr>
          <w:rFonts w:cs="Arial"/>
        </w:rPr>
        <w:t xml:space="preserve"> the High Court entertained its first migration case in 15 years</w:t>
      </w:r>
      <w:r>
        <w:rPr>
          <w:rFonts w:cs="Arial"/>
        </w:rPr>
        <w:t>,</w:t>
      </w:r>
      <w:r w:rsidRPr="00962D54">
        <w:rPr>
          <w:rFonts w:cs="Arial"/>
        </w:rPr>
        <w:t xml:space="preserve"> brought under section 75(v)</w:t>
      </w:r>
      <w:r>
        <w:rPr>
          <w:rFonts w:cs="Arial"/>
        </w:rPr>
        <w:t xml:space="preserve"> on the ground of</w:t>
      </w:r>
      <w:r w:rsidRPr="00962D54">
        <w:rPr>
          <w:rFonts w:cs="Arial"/>
        </w:rPr>
        <w:t xml:space="preserve"> want of procedural fairness.</w:t>
      </w:r>
      <w:r w:rsidRPr="00962D54">
        <w:rPr>
          <w:rFonts w:cs="Arial"/>
          <w:vertAlign w:val="superscript"/>
        </w:rPr>
        <w:endnoteReference w:id="37"/>
      </w:r>
      <w:r w:rsidRPr="00962D54">
        <w:rPr>
          <w:rFonts w:cs="Arial"/>
        </w:rPr>
        <w:t xml:space="preserve"> The judgment in </w:t>
      </w:r>
      <w:proofErr w:type="spellStart"/>
      <w:r w:rsidRPr="00962D54">
        <w:rPr>
          <w:rFonts w:cs="Arial"/>
          <w:i/>
          <w:iCs/>
        </w:rPr>
        <w:t>Aala’s</w:t>
      </w:r>
      <w:proofErr w:type="spellEnd"/>
      <w:r w:rsidRPr="00962D54">
        <w:rPr>
          <w:rFonts w:cs="Arial"/>
        </w:rPr>
        <w:t xml:space="preserve"> case essentially amounted to a repackaging of two key administrative law concepts; prerogative writs and jurisdictional error. Though prohibition and mandamus were already prerogative writs available at common law to restrain or compel certain executive actions, the High Court, in hearing a case brought explicitly under its original constitutional jurisdiction, rebranded these as ‘constitutional writs’. These writs, it held, had existed since 1900 to serve the constitutional purpose of ensuring Commonwealth office</w:t>
      </w:r>
      <w:r>
        <w:rPr>
          <w:rFonts w:cs="Arial"/>
        </w:rPr>
        <w:t>r</w:t>
      </w:r>
      <w:r w:rsidRPr="00962D54">
        <w:rPr>
          <w:rFonts w:cs="Arial"/>
        </w:rPr>
        <w:t>s remained within their jurisdictional limits.</w:t>
      </w:r>
      <w:r w:rsidRPr="00962D54">
        <w:rPr>
          <w:rStyle w:val="EndnoteReference"/>
          <w:rFonts w:cs="Arial"/>
        </w:rPr>
        <w:endnoteReference w:id="38"/>
      </w:r>
      <w:r w:rsidRPr="00962D54">
        <w:rPr>
          <w:rFonts w:cs="Arial"/>
        </w:rPr>
        <w:t xml:space="preserve"> The reasons for this can best be summarised by the High Court’s desire to break with English tradition, intentionally disavowing the notion that the court might be exercising any monarchical power, and creating in the same breath a supposedly Australian family of writs that could be issued even against superior federal courts, and that had an explicitly constitutional basis.</w:t>
      </w:r>
      <w:r w:rsidRPr="00962D54">
        <w:rPr>
          <w:rFonts w:cs="Arial"/>
          <w:vertAlign w:val="superscript"/>
        </w:rPr>
        <w:endnoteReference w:id="39"/>
      </w:r>
      <w:r w:rsidRPr="00962D54">
        <w:rPr>
          <w:rFonts w:cs="Arial"/>
        </w:rPr>
        <w:t xml:space="preserve"> </w:t>
      </w:r>
    </w:p>
    <w:p w:rsidR="007D11A4" w:rsidRPr="00962D54" w:rsidRDefault="007D11A4" w:rsidP="007D11A4">
      <w:pPr>
        <w:spacing w:before="100" w:beforeAutospacing="1" w:after="100" w:afterAutospacing="1"/>
        <w:jc w:val="both"/>
        <w:rPr>
          <w:rFonts w:cs="Arial"/>
        </w:rPr>
      </w:pPr>
      <w:r w:rsidRPr="00962D54">
        <w:rPr>
          <w:rFonts w:cs="Arial"/>
        </w:rPr>
        <w:t>As these constitutional writs could only issue when a Commonwealth officer exceeded jurisdictional limits, the other result of this reasoning was to firmly entrench jurisdictional error as the sole basis for section 75(v) judicial review.</w:t>
      </w:r>
      <w:r w:rsidRPr="00962D54">
        <w:rPr>
          <w:rStyle w:val="EndnoteReference"/>
          <w:rFonts w:cs="Arial"/>
        </w:rPr>
        <w:endnoteReference w:id="40"/>
      </w:r>
      <w:r w:rsidRPr="00962D54">
        <w:rPr>
          <w:rFonts w:cs="Arial"/>
        </w:rPr>
        <w:t xml:space="preserve"> </w:t>
      </w:r>
      <w:proofErr w:type="gramStart"/>
      <w:r w:rsidRPr="00962D54">
        <w:rPr>
          <w:rFonts w:cs="Arial"/>
        </w:rPr>
        <w:t>Cane accounts for the largely technical approach adopted by the court here as the result of a shift in the ‘ideological centre of gravity’ between the Mason Court and the Gleeson Court, in which a distinctly less policy-oriented style of reasoning can be detected.</w:t>
      </w:r>
      <w:proofErr w:type="gramEnd"/>
      <w:r w:rsidRPr="00962D54">
        <w:rPr>
          <w:rStyle w:val="EndnoteReference"/>
          <w:rFonts w:cs="Arial"/>
        </w:rPr>
        <w:endnoteReference w:id="41"/>
      </w:r>
      <w:r w:rsidRPr="00962D54">
        <w:rPr>
          <w:rFonts w:cs="Arial"/>
        </w:rPr>
        <w:t xml:space="preserve"> So it was that jurisdictional error ‘came of age’,</w:t>
      </w:r>
      <w:r w:rsidRPr="00962D54">
        <w:rPr>
          <w:rStyle w:val="EndnoteReference"/>
          <w:rFonts w:cs="Arial"/>
        </w:rPr>
        <w:endnoteReference w:id="42"/>
      </w:r>
      <w:r w:rsidRPr="00962D54">
        <w:rPr>
          <w:rFonts w:cs="Arial"/>
        </w:rPr>
        <w:t xml:space="preserve"> taking on a new life as the definitional threshold to be met before the High Court’s jurisdiction to grant remedies against the executive could be enlivened</w:t>
      </w:r>
      <w:r>
        <w:rPr>
          <w:rFonts w:cs="Arial"/>
        </w:rPr>
        <w:t xml:space="preserve">; </w:t>
      </w:r>
      <w:r w:rsidRPr="00962D54">
        <w:rPr>
          <w:rFonts w:cs="Arial"/>
        </w:rPr>
        <w:t xml:space="preserve">this result clearly echoes Justice Brennan’s reasoning in </w:t>
      </w:r>
      <w:r w:rsidRPr="00962D54">
        <w:rPr>
          <w:rFonts w:cs="Arial"/>
          <w:i/>
          <w:iCs/>
        </w:rPr>
        <w:t>Quin</w:t>
      </w:r>
      <w:r w:rsidRPr="00962D54">
        <w:rPr>
          <w:rFonts w:cs="Arial"/>
        </w:rPr>
        <w:t xml:space="preserve">. </w:t>
      </w:r>
    </w:p>
    <w:p w:rsidR="007D11A4" w:rsidRPr="00962D54" w:rsidRDefault="007D11A4" w:rsidP="007D11A4">
      <w:pPr>
        <w:spacing w:before="100" w:beforeAutospacing="1" w:after="100" w:afterAutospacing="1"/>
        <w:rPr>
          <w:rFonts w:cs="Arial"/>
          <w:b/>
          <w:bCs/>
          <w:i/>
        </w:rPr>
      </w:pPr>
      <w:r w:rsidRPr="00962D54">
        <w:rPr>
          <w:rFonts w:cs="Arial"/>
          <w:b/>
          <w:bCs/>
          <w:i/>
        </w:rPr>
        <w:t xml:space="preserve">2003: </w:t>
      </w:r>
      <w:r w:rsidRPr="00962D54">
        <w:rPr>
          <w:rFonts w:cs="Arial"/>
          <w:b/>
          <w:bCs/>
          <w:i/>
          <w:iCs/>
        </w:rPr>
        <w:t>S157</w:t>
      </w:r>
      <w:r w:rsidRPr="00962D54">
        <w:rPr>
          <w:rFonts w:cs="Arial"/>
          <w:b/>
          <w:bCs/>
          <w:i/>
        </w:rPr>
        <w:t xml:space="preserve"> – </w:t>
      </w:r>
      <w:r>
        <w:rPr>
          <w:rFonts w:cs="Arial"/>
          <w:b/>
          <w:bCs/>
          <w:i/>
        </w:rPr>
        <w:t>a</w:t>
      </w:r>
      <w:r w:rsidRPr="00962D54">
        <w:rPr>
          <w:rFonts w:cs="Arial"/>
          <w:b/>
          <w:bCs/>
          <w:i/>
        </w:rPr>
        <w:t xml:space="preserve">n </w:t>
      </w:r>
      <w:r>
        <w:rPr>
          <w:rFonts w:cs="Arial"/>
          <w:b/>
          <w:bCs/>
          <w:i/>
        </w:rPr>
        <w:t>e</w:t>
      </w:r>
      <w:r w:rsidRPr="00962D54">
        <w:rPr>
          <w:rFonts w:cs="Arial"/>
          <w:b/>
          <w:bCs/>
          <w:i/>
        </w:rPr>
        <w:t xml:space="preserve">ntrenched </w:t>
      </w:r>
      <w:r>
        <w:rPr>
          <w:rFonts w:cs="Arial"/>
          <w:b/>
          <w:bCs/>
          <w:i/>
        </w:rPr>
        <w:t>m</w:t>
      </w:r>
      <w:r w:rsidRPr="00962D54">
        <w:rPr>
          <w:rFonts w:cs="Arial"/>
          <w:b/>
          <w:bCs/>
          <w:i/>
        </w:rPr>
        <w:t xml:space="preserve">inimum </w:t>
      </w:r>
      <w:r>
        <w:rPr>
          <w:rFonts w:cs="Arial"/>
          <w:b/>
          <w:bCs/>
          <w:i/>
        </w:rPr>
        <w:t>c</w:t>
      </w:r>
      <w:r w:rsidRPr="00962D54">
        <w:rPr>
          <w:rFonts w:cs="Arial"/>
          <w:b/>
          <w:bCs/>
          <w:i/>
        </w:rPr>
        <w:t xml:space="preserve">ontent of </w:t>
      </w:r>
      <w:r>
        <w:rPr>
          <w:rFonts w:cs="Arial"/>
          <w:b/>
          <w:bCs/>
          <w:i/>
        </w:rPr>
        <w:t>j</w:t>
      </w:r>
      <w:r w:rsidRPr="00962D54">
        <w:rPr>
          <w:rFonts w:cs="Arial"/>
          <w:b/>
          <w:bCs/>
          <w:i/>
        </w:rPr>
        <w:t xml:space="preserve">udicial </w:t>
      </w:r>
      <w:r>
        <w:rPr>
          <w:rFonts w:cs="Arial"/>
          <w:b/>
          <w:bCs/>
          <w:i/>
        </w:rPr>
        <w:t>r</w:t>
      </w:r>
      <w:r w:rsidRPr="00962D54">
        <w:rPr>
          <w:rFonts w:cs="Arial"/>
          <w:b/>
          <w:bCs/>
          <w:i/>
        </w:rPr>
        <w:t>eview</w:t>
      </w:r>
    </w:p>
    <w:p w:rsidR="007D11A4" w:rsidRPr="00962D54" w:rsidRDefault="007D11A4" w:rsidP="007D11A4">
      <w:pPr>
        <w:spacing w:before="100" w:beforeAutospacing="1" w:after="100" w:afterAutospacing="1"/>
        <w:jc w:val="both"/>
        <w:rPr>
          <w:rFonts w:cs="Arial"/>
        </w:rPr>
      </w:pPr>
      <w:r w:rsidRPr="00962D54">
        <w:rPr>
          <w:rFonts w:cs="Arial"/>
        </w:rPr>
        <w:t xml:space="preserve">If </w:t>
      </w:r>
      <w:proofErr w:type="spellStart"/>
      <w:r w:rsidRPr="00962D54">
        <w:rPr>
          <w:rFonts w:cs="Arial"/>
          <w:i/>
          <w:iCs/>
        </w:rPr>
        <w:t>Aala</w:t>
      </w:r>
      <w:proofErr w:type="spellEnd"/>
      <w:r w:rsidRPr="00962D54">
        <w:rPr>
          <w:rFonts w:cs="Arial"/>
        </w:rPr>
        <w:t xml:space="preserve"> was concerned with the </w:t>
      </w:r>
      <w:r w:rsidRPr="00962D54">
        <w:rPr>
          <w:rFonts w:cs="Arial"/>
          <w:i/>
          <w:iCs/>
        </w:rPr>
        <w:t>nature</w:t>
      </w:r>
      <w:r w:rsidRPr="00962D54">
        <w:rPr>
          <w:rFonts w:cs="Arial"/>
        </w:rPr>
        <w:t xml:space="preserve"> of judicial review under section 75(v), </w:t>
      </w:r>
      <w:r w:rsidRPr="00962D54">
        <w:rPr>
          <w:rFonts w:cs="Arial"/>
          <w:i/>
          <w:iCs/>
        </w:rPr>
        <w:t>S157</w:t>
      </w:r>
      <w:r w:rsidRPr="00962D54">
        <w:rPr>
          <w:rStyle w:val="EndnoteReference"/>
          <w:rFonts w:cs="Arial"/>
        </w:rPr>
        <w:endnoteReference w:id="43"/>
      </w:r>
      <w:r w:rsidRPr="00962D54">
        <w:rPr>
          <w:rFonts w:cs="Arial"/>
        </w:rPr>
        <w:t xml:space="preserve"> was concerned with its availability. Four years prior in </w:t>
      </w:r>
      <w:proofErr w:type="spellStart"/>
      <w:r w:rsidRPr="00962D54">
        <w:rPr>
          <w:rFonts w:cs="Arial"/>
          <w:i/>
          <w:iCs/>
        </w:rPr>
        <w:t>Abebe</w:t>
      </w:r>
      <w:proofErr w:type="spellEnd"/>
      <w:r w:rsidRPr="00962D54">
        <w:rPr>
          <w:rFonts w:cs="Arial"/>
        </w:rPr>
        <w:t>,</w:t>
      </w:r>
      <w:r w:rsidRPr="00962D54">
        <w:rPr>
          <w:rStyle w:val="EndnoteReference"/>
          <w:rFonts w:cs="Arial"/>
        </w:rPr>
        <w:endnoteReference w:id="44"/>
      </w:r>
      <w:r w:rsidRPr="00962D54">
        <w:rPr>
          <w:rFonts w:cs="Arial"/>
        </w:rPr>
        <w:t xml:space="preserve"> the High Court had upheld the constitutionality of legislative reforms in the 1990s designed to limit the Federal Court’s jurisdiction to undertake judicial review of migration decisions, inadvertently revitalising in the process its own jurisdiction to hear such cases.</w:t>
      </w:r>
      <w:r w:rsidRPr="00962D54">
        <w:rPr>
          <w:rStyle w:val="EndnoteReference"/>
          <w:rFonts w:cs="Arial"/>
        </w:rPr>
        <w:endnoteReference w:id="45"/>
      </w:r>
      <w:r w:rsidRPr="00962D54">
        <w:rPr>
          <w:rFonts w:cs="Arial"/>
        </w:rPr>
        <w:t xml:space="preserve"> In </w:t>
      </w:r>
      <w:r w:rsidRPr="00962D54">
        <w:rPr>
          <w:rFonts w:cs="Arial"/>
          <w:i/>
          <w:iCs/>
        </w:rPr>
        <w:t>S157</w:t>
      </w:r>
      <w:r w:rsidRPr="00962D54">
        <w:rPr>
          <w:rFonts w:cs="Arial"/>
        </w:rPr>
        <w:t>, the High Court drew a line in the sand with respect to privative clauses, holding that there existed a constitutionally entrenched minimum standard of judicial review that Parliament could neither abrogate nor limit.</w:t>
      </w:r>
      <w:r w:rsidRPr="00962D54">
        <w:rPr>
          <w:rFonts w:cs="Arial"/>
          <w:vertAlign w:val="superscript"/>
        </w:rPr>
        <w:endnoteReference w:id="46"/>
      </w:r>
      <w:r w:rsidRPr="00962D54">
        <w:rPr>
          <w:rFonts w:cs="Arial"/>
        </w:rPr>
        <w:t xml:space="preserve"> Again, this case builds on the logic of its predecessors, but i</w:t>
      </w:r>
      <w:r>
        <w:rPr>
          <w:rFonts w:cs="Arial"/>
        </w:rPr>
        <w:t>t</w:t>
      </w:r>
      <w:r w:rsidRPr="00962D54">
        <w:rPr>
          <w:rFonts w:cs="Arial"/>
        </w:rPr>
        <w:t xml:space="preserve"> go</w:t>
      </w:r>
      <w:r>
        <w:rPr>
          <w:rFonts w:cs="Arial"/>
        </w:rPr>
        <w:t>es</w:t>
      </w:r>
      <w:r w:rsidRPr="00962D54">
        <w:rPr>
          <w:rFonts w:cs="Arial"/>
        </w:rPr>
        <w:t xml:space="preserve"> a step further to declare judicial review a constitutionally guaranteed right, this is perhaps the most pivotal moment in the </w:t>
      </w:r>
      <w:proofErr w:type="spellStart"/>
      <w:r w:rsidRPr="00962D54">
        <w:rPr>
          <w:rFonts w:cs="Arial"/>
        </w:rPr>
        <w:t>constitutionalisation</w:t>
      </w:r>
      <w:proofErr w:type="spellEnd"/>
      <w:r w:rsidRPr="00962D54">
        <w:rPr>
          <w:rFonts w:cs="Arial"/>
        </w:rPr>
        <w:t xml:space="preserve"> of administrative law.</w:t>
      </w:r>
    </w:p>
    <w:p w:rsidR="007D11A4" w:rsidRDefault="007D11A4">
      <w:pPr>
        <w:rPr>
          <w:rFonts w:cs="Arial"/>
          <w:b/>
          <w:bCs/>
          <w:i/>
        </w:rPr>
      </w:pPr>
      <w:r>
        <w:rPr>
          <w:rFonts w:cs="Arial"/>
          <w:b/>
          <w:bCs/>
          <w:i/>
        </w:rPr>
        <w:br w:type="page"/>
      </w:r>
    </w:p>
    <w:p w:rsidR="007D11A4" w:rsidRPr="00962D54" w:rsidRDefault="007D11A4" w:rsidP="007D11A4">
      <w:pPr>
        <w:spacing w:before="100" w:beforeAutospacing="1" w:after="100" w:afterAutospacing="1"/>
        <w:rPr>
          <w:rFonts w:cs="Arial"/>
          <w:b/>
          <w:bCs/>
          <w:i/>
        </w:rPr>
      </w:pPr>
      <w:r w:rsidRPr="00962D54">
        <w:rPr>
          <w:rFonts w:cs="Arial"/>
          <w:b/>
          <w:bCs/>
          <w:i/>
        </w:rPr>
        <w:lastRenderedPageBreak/>
        <w:t xml:space="preserve">2010: </w:t>
      </w:r>
      <w:r w:rsidRPr="00962D54">
        <w:rPr>
          <w:rFonts w:cs="Arial"/>
          <w:b/>
          <w:bCs/>
          <w:i/>
          <w:iCs/>
        </w:rPr>
        <w:t>Kirk</w:t>
      </w:r>
      <w:r w:rsidRPr="00962D54">
        <w:rPr>
          <w:rFonts w:cs="Arial"/>
          <w:b/>
          <w:bCs/>
          <w:i/>
        </w:rPr>
        <w:t xml:space="preserve"> – </w:t>
      </w:r>
      <w:r>
        <w:rPr>
          <w:rFonts w:cs="Arial"/>
          <w:b/>
          <w:bCs/>
          <w:i/>
        </w:rPr>
        <w:t>a</w:t>
      </w:r>
      <w:r w:rsidRPr="00962D54">
        <w:rPr>
          <w:rFonts w:cs="Arial"/>
          <w:b/>
          <w:bCs/>
          <w:i/>
        </w:rPr>
        <w:t xml:space="preserve">n </w:t>
      </w:r>
      <w:r>
        <w:rPr>
          <w:rFonts w:cs="Arial"/>
          <w:b/>
          <w:bCs/>
          <w:i/>
        </w:rPr>
        <w:t>i</w:t>
      </w:r>
      <w:r w:rsidRPr="00962D54">
        <w:rPr>
          <w:rFonts w:cs="Arial"/>
          <w:b/>
          <w:bCs/>
          <w:i/>
        </w:rPr>
        <w:t xml:space="preserve">ntegrated </w:t>
      </w:r>
      <w:r>
        <w:rPr>
          <w:rFonts w:cs="Arial"/>
          <w:b/>
          <w:bCs/>
          <w:i/>
        </w:rPr>
        <w:t>f</w:t>
      </w:r>
      <w:r w:rsidRPr="00962D54">
        <w:rPr>
          <w:rFonts w:cs="Arial"/>
          <w:b/>
          <w:bCs/>
          <w:i/>
        </w:rPr>
        <w:t xml:space="preserve">ederal </w:t>
      </w:r>
      <w:r>
        <w:rPr>
          <w:rFonts w:cs="Arial"/>
          <w:b/>
          <w:bCs/>
          <w:i/>
        </w:rPr>
        <w:t>c</w:t>
      </w:r>
      <w:r w:rsidRPr="00962D54">
        <w:rPr>
          <w:rFonts w:cs="Arial"/>
          <w:b/>
          <w:bCs/>
          <w:i/>
        </w:rPr>
        <w:t xml:space="preserve">onstitutional </w:t>
      </w:r>
      <w:r>
        <w:rPr>
          <w:rFonts w:cs="Arial"/>
          <w:b/>
          <w:bCs/>
          <w:i/>
        </w:rPr>
        <w:t>a</w:t>
      </w:r>
      <w:r w:rsidRPr="00962D54">
        <w:rPr>
          <w:rFonts w:cs="Arial"/>
          <w:b/>
          <w:bCs/>
          <w:i/>
        </w:rPr>
        <w:t xml:space="preserve">dministrative </w:t>
      </w:r>
      <w:r>
        <w:rPr>
          <w:rFonts w:cs="Arial"/>
          <w:b/>
          <w:bCs/>
          <w:i/>
        </w:rPr>
        <w:t>l</w:t>
      </w:r>
      <w:r w:rsidRPr="00962D54">
        <w:rPr>
          <w:rFonts w:cs="Arial"/>
          <w:b/>
          <w:bCs/>
          <w:i/>
        </w:rPr>
        <w:t xml:space="preserve">aw </w:t>
      </w:r>
      <w:r>
        <w:rPr>
          <w:rFonts w:cs="Arial"/>
          <w:b/>
          <w:bCs/>
          <w:i/>
        </w:rPr>
        <w:t>s</w:t>
      </w:r>
      <w:r w:rsidRPr="00962D54">
        <w:rPr>
          <w:rFonts w:cs="Arial"/>
          <w:b/>
          <w:bCs/>
          <w:i/>
        </w:rPr>
        <w:t>ystem</w:t>
      </w:r>
    </w:p>
    <w:p w:rsidR="007D11A4" w:rsidRPr="00962D54" w:rsidRDefault="007D11A4" w:rsidP="007D11A4">
      <w:pPr>
        <w:spacing w:before="100" w:beforeAutospacing="1" w:after="100" w:afterAutospacing="1"/>
        <w:jc w:val="both"/>
        <w:rPr>
          <w:rFonts w:cs="Arial"/>
        </w:rPr>
      </w:pPr>
      <w:r w:rsidRPr="00962D54">
        <w:rPr>
          <w:rFonts w:cs="Arial"/>
        </w:rPr>
        <w:t xml:space="preserve">What </w:t>
      </w:r>
      <w:r w:rsidRPr="00962D54">
        <w:rPr>
          <w:rFonts w:cs="Arial"/>
          <w:i/>
          <w:iCs/>
        </w:rPr>
        <w:t>S157</w:t>
      </w:r>
      <w:r w:rsidRPr="00962D54">
        <w:rPr>
          <w:rFonts w:cs="Arial"/>
        </w:rPr>
        <w:t xml:space="preserve"> did for Federal judicial review, </w:t>
      </w:r>
      <w:r w:rsidRPr="00962D54">
        <w:rPr>
          <w:rFonts w:cs="Arial"/>
          <w:i/>
          <w:iCs/>
        </w:rPr>
        <w:t>Kirk</w:t>
      </w:r>
      <w:r w:rsidRPr="00962D54">
        <w:rPr>
          <w:rStyle w:val="EndnoteReference"/>
          <w:rFonts w:cs="Arial"/>
        </w:rPr>
        <w:endnoteReference w:id="47"/>
      </w:r>
      <w:r w:rsidRPr="00962D54">
        <w:rPr>
          <w:rFonts w:cs="Arial"/>
        </w:rPr>
        <w:t xml:space="preserve"> did for state judicial review. The effect of the judgment was essentially </w:t>
      </w:r>
      <w:r>
        <w:rPr>
          <w:rFonts w:cs="Arial"/>
        </w:rPr>
        <w:t xml:space="preserve">to </w:t>
      </w:r>
      <w:r w:rsidRPr="00962D54">
        <w:rPr>
          <w:rFonts w:cs="Arial"/>
        </w:rPr>
        <w:t>import the doctrines expounded over the past two decades at the federal level to the state context and, in the process, create an integrated and unitary common law of judicial review applicable to all Australian jurisdictions. While previously it had been open to state parliaments to enact privative clauses precluding judicial review of executive action,</w:t>
      </w:r>
      <w:r w:rsidRPr="00962D54">
        <w:rPr>
          <w:rStyle w:val="EndnoteReference"/>
          <w:rFonts w:cs="Arial"/>
        </w:rPr>
        <w:endnoteReference w:id="48"/>
      </w:r>
      <w:r w:rsidRPr="00962D54">
        <w:rPr>
          <w:rFonts w:cs="Arial"/>
        </w:rPr>
        <w:t xml:space="preserve"> that position was reverse</w:t>
      </w:r>
      <w:r>
        <w:rPr>
          <w:rFonts w:cs="Arial"/>
        </w:rPr>
        <w:t>d</w:t>
      </w:r>
      <w:r w:rsidRPr="00962D54">
        <w:rPr>
          <w:rFonts w:cs="Arial"/>
        </w:rPr>
        <w:t xml:space="preserve"> with the finding that there exists a constitutionally entrenched minimum level of judicial review at the state level.</w:t>
      </w:r>
      <w:r w:rsidRPr="00962D54">
        <w:rPr>
          <w:rFonts w:cs="Arial"/>
          <w:vertAlign w:val="superscript"/>
        </w:rPr>
        <w:t xml:space="preserve"> </w:t>
      </w:r>
      <w:r w:rsidRPr="00962D54">
        <w:rPr>
          <w:rFonts w:cs="Arial"/>
          <w:vertAlign w:val="superscript"/>
        </w:rPr>
        <w:endnoteReference w:id="49"/>
      </w:r>
      <w:r>
        <w:rPr>
          <w:rFonts w:cs="Arial"/>
        </w:rPr>
        <w:t xml:space="preserve"> </w:t>
      </w:r>
      <w:r w:rsidRPr="00962D54">
        <w:rPr>
          <w:rFonts w:cs="Arial"/>
        </w:rPr>
        <w:t xml:space="preserve"> Chapter III and section 73(ii) of the </w:t>
      </w:r>
      <w:r w:rsidRPr="00962D54">
        <w:rPr>
          <w:rFonts w:cs="Arial"/>
          <w:i/>
          <w:iCs/>
        </w:rPr>
        <w:t>Constitution</w:t>
      </w:r>
      <w:r w:rsidRPr="00962D54">
        <w:rPr>
          <w:rFonts w:cs="Arial"/>
        </w:rPr>
        <w:t xml:space="preserve"> are predicated upon the continuing existence in each state of a ‘State Supreme Court’.</w:t>
      </w:r>
      <w:r w:rsidRPr="00962D54">
        <w:rPr>
          <w:rFonts w:cs="Arial"/>
          <w:vertAlign w:val="superscript"/>
        </w:rPr>
        <w:endnoteReference w:id="50"/>
      </w:r>
      <w:r w:rsidRPr="00962D54">
        <w:rPr>
          <w:rFonts w:cs="Arial"/>
        </w:rPr>
        <w:t xml:space="preserve"> </w:t>
      </w:r>
      <w:r>
        <w:rPr>
          <w:rFonts w:cs="Arial"/>
        </w:rPr>
        <w:t xml:space="preserve"> A</w:t>
      </w:r>
      <w:r w:rsidRPr="00962D54">
        <w:rPr>
          <w:rFonts w:cs="Arial"/>
        </w:rPr>
        <w:t xml:space="preserve"> defining characteristic of such a court is, following </w:t>
      </w:r>
      <w:r w:rsidRPr="00962D54">
        <w:rPr>
          <w:rFonts w:cs="Arial"/>
          <w:i/>
          <w:iCs/>
        </w:rPr>
        <w:t>Quin</w:t>
      </w:r>
      <w:r w:rsidRPr="00962D54">
        <w:rPr>
          <w:rFonts w:cs="Arial"/>
        </w:rPr>
        <w:t>, its supervisory jurisdiction to ‘enforce the limits on the exercise of State executive and judicial power’.</w:t>
      </w:r>
      <w:r w:rsidRPr="00962D54">
        <w:rPr>
          <w:rFonts w:cs="Arial"/>
          <w:vertAlign w:val="superscript"/>
        </w:rPr>
        <w:endnoteReference w:id="51"/>
      </w:r>
      <w:r w:rsidRPr="00962D54">
        <w:rPr>
          <w:rFonts w:cs="Arial"/>
        </w:rPr>
        <w:t xml:space="preserve"> Finally, no parliament could therefore enact legislation that would alter the character of a State Supreme Court such that it would cease to meet the constitutional description.</w:t>
      </w:r>
      <w:r w:rsidRPr="00962D54">
        <w:rPr>
          <w:rFonts w:cs="Arial"/>
          <w:vertAlign w:val="superscript"/>
        </w:rPr>
        <w:endnoteReference w:id="52"/>
      </w:r>
      <w:r w:rsidRPr="00962D54">
        <w:rPr>
          <w:rFonts w:cs="Arial"/>
        </w:rPr>
        <w:t xml:space="preserve"> </w:t>
      </w:r>
    </w:p>
    <w:p w:rsidR="007D11A4" w:rsidRPr="00962D54" w:rsidRDefault="007D11A4" w:rsidP="007D11A4">
      <w:pPr>
        <w:spacing w:before="100" w:beforeAutospacing="1" w:after="100" w:afterAutospacing="1"/>
        <w:jc w:val="both"/>
        <w:rPr>
          <w:rFonts w:cs="Arial"/>
        </w:rPr>
      </w:pPr>
      <w:r w:rsidRPr="00962D54">
        <w:rPr>
          <w:rFonts w:cs="Arial"/>
        </w:rPr>
        <w:t xml:space="preserve">The judgment in </w:t>
      </w:r>
      <w:r w:rsidRPr="00962D54">
        <w:rPr>
          <w:rFonts w:cs="Arial"/>
          <w:i/>
          <w:iCs/>
        </w:rPr>
        <w:t>Kirk</w:t>
      </w:r>
      <w:r w:rsidRPr="00962D54">
        <w:rPr>
          <w:rFonts w:cs="Arial"/>
        </w:rPr>
        <w:t xml:space="preserve"> was well-received, winning ‘unmitigated admiration’</w:t>
      </w:r>
      <w:r w:rsidRPr="00962D54">
        <w:rPr>
          <w:rFonts w:cs="Arial"/>
          <w:vertAlign w:val="superscript"/>
        </w:rPr>
        <w:endnoteReference w:id="53"/>
      </w:r>
      <w:r w:rsidRPr="00962D54">
        <w:rPr>
          <w:rFonts w:cs="Arial"/>
        </w:rPr>
        <w:t xml:space="preserve"> from commentators who praised it for establishing a constitutional symmetry between the two species of judicial review (Federal and state), for filling a significant gap in the integrated character of the Australian judiciary,</w:t>
      </w:r>
      <w:r w:rsidRPr="00962D54">
        <w:rPr>
          <w:rFonts w:cs="Arial"/>
          <w:vertAlign w:val="superscript"/>
        </w:rPr>
        <w:endnoteReference w:id="54"/>
      </w:r>
      <w:r w:rsidRPr="00962D54">
        <w:rPr>
          <w:rFonts w:cs="Arial"/>
        </w:rPr>
        <w:t xml:space="preserve"> and for strengthening the proposition that there is ‘one common law of Australia’.</w:t>
      </w:r>
      <w:r w:rsidRPr="00962D54">
        <w:rPr>
          <w:rFonts w:cs="Arial"/>
          <w:vertAlign w:val="superscript"/>
        </w:rPr>
        <w:endnoteReference w:id="55"/>
      </w:r>
      <w:r w:rsidRPr="00962D54">
        <w:rPr>
          <w:rFonts w:cs="Arial"/>
        </w:rPr>
        <w:t xml:space="preserve"> Yet </w:t>
      </w:r>
      <w:r w:rsidRPr="00962D54">
        <w:rPr>
          <w:rFonts w:cs="Arial"/>
          <w:i/>
          <w:iCs/>
        </w:rPr>
        <w:t>Kirk</w:t>
      </w:r>
      <w:r w:rsidRPr="00962D54">
        <w:rPr>
          <w:rFonts w:cs="Arial"/>
        </w:rPr>
        <w:t xml:space="preserve"> has its detractors; </w:t>
      </w:r>
      <w:proofErr w:type="spellStart"/>
      <w:r w:rsidRPr="00962D54">
        <w:rPr>
          <w:rFonts w:cs="Arial"/>
        </w:rPr>
        <w:t>Basten</w:t>
      </w:r>
      <w:proofErr w:type="spellEnd"/>
      <w:r w:rsidRPr="00962D54">
        <w:rPr>
          <w:rFonts w:cs="Arial"/>
        </w:rPr>
        <w:t xml:space="preserve"> JA argues that the second limb of its argument – which characterised the supervisory jurisdiction of a federal court as a ‘defining characteristic’ of a ‘State Supreme Court’ – rests on dubious logic,</w:t>
      </w:r>
      <w:r w:rsidRPr="00962D54">
        <w:rPr>
          <w:rFonts w:cs="Arial"/>
          <w:vertAlign w:val="superscript"/>
        </w:rPr>
        <w:endnoteReference w:id="56"/>
      </w:r>
      <w:r w:rsidRPr="00962D54">
        <w:rPr>
          <w:rFonts w:cs="Arial"/>
        </w:rPr>
        <w:t xml:space="preserve"> which perhaps went unnoticed amidst the widespread enthusiasm for </w:t>
      </w:r>
      <w:r w:rsidRPr="00962D54">
        <w:rPr>
          <w:rFonts w:cs="Arial"/>
          <w:i/>
          <w:iCs/>
        </w:rPr>
        <w:t>Kirk’s</w:t>
      </w:r>
      <w:r w:rsidRPr="00962D54">
        <w:rPr>
          <w:rFonts w:cs="Arial"/>
        </w:rPr>
        <w:t xml:space="preserve"> result. In any case, one thing that is clear from the literature is that the decision in </w:t>
      </w:r>
      <w:r w:rsidRPr="00962D54">
        <w:rPr>
          <w:rFonts w:cs="Arial"/>
          <w:i/>
        </w:rPr>
        <w:t>Kirk</w:t>
      </w:r>
      <w:r w:rsidRPr="00962D54">
        <w:rPr>
          <w:rFonts w:cs="Arial"/>
        </w:rPr>
        <w:t xml:space="preserve"> is unlikely to be overruled any time soon – </w:t>
      </w:r>
      <w:r>
        <w:rPr>
          <w:rFonts w:cs="Arial"/>
        </w:rPr>
        <w:t>nor is</w:t>
      </w:r>
      <w:r w:rsidRPr="00962D54">
        <w:rPr>
          <w:rFonts w:cs="Arial"/>
        </w:rPr>
        <w:t xml:space="preserve"> the </w:t>
      </w:r>
      <w:proofErr w:type="spellStart"/>
      <w:r w:rsidRPr="00962D54">
        <w:rPr>
          <w:rFonts w:cs="Arial"/>
        </w:rPr>
        <w:t>constitutionalisation</w:t>
      </w:r>
      <w:proofErr w:type="spellEnd"/>
      <w:r w:rsidRPr="00962D54">
        <w:rPr>
          <w:rFonts w:cs="Arial"/>
        </w:rPr>
        <w:t xml:space="preserve"> of administrative</w:t>
      </w:r>
      <w:r>
        <w:rPr>
          <w:rFonts w:cs="Arial"/>
        </w:rPr>
        <w:t xml:space="preserve"> law</w:t>
      </w:r>
      <w:r w:rsidRPr="00962D54">
        <w:rPr>
          <w:rFonts w:cs="Arial"/>
        </w:rPr>
        <w:t xml:space="preserve"> likely to be undone.</w:t>
      </w:r>
    </w:p>
    <w:p w:rsidR="007D11A4" w:rsidRDefault="007D11A4" w:rsidP="007D11A4">
      <w:pPr>
        <w:spacing w:before="100" w:beforeAutospacing="1" w:after="100" w:afterAutospacing="1"/>
        <w:rPr>
          <w:rFonts w:cs="Arial"/>
          <w:b/>
          <w:bCs/>
        </w:rPr>
      </w:pPr>
      <w:r>
        <w:rPr>
          <w:rFonts w:cs="Arial"/>
          <w:b/>
          <w:bCs/>
        </w:rPr>
        <w:t xml:space="preserve">II   The issues with </w:t>
      </w:r>
      <w:proofErr w:type="spellStart"/>
      <w:r>
        <w:rPr>
          <w:rFonts w:cs="Arial"/>
          <w:b/>
          <w:bCs/>
        </w:rPr>
        <w:t>constitutionalisation</w:t>
      </w:r>
      <w:proofErr w:type="spellEnd"/>
    </w:p>
    <w:p w:rsidR="007D11A4" w:rsidRPr="00962D54" w:rsidRDefault="007D11A4" w:rsidP="007D11A4">
      <w:pPr>
        <w:spacing w:before="100" w:beforeAutospacing="1" w:after="100" w:afterAutospacing="1"/>
        <w:rPr>
          <w:rFonts w:cs="Arial"/>
          <w:b/>
          <w:bCs/>
          <w:i/>
        </w:rPr>
      </w:pPr>
      <w:r>
        <w:rPr>
          <w:rFonts w:cs="Arial"/>
          <w:b/>
          <w:bCs/>
          <w:i/>
        </w:rPr>
        <w:t>T</w:t>
      </w:r>
      <w:r w:rsidRPr="00962D54">
        <w:rPr>
          <w:rFonts w:cs="Arial"/>
          <w:b/>
          <w:bCs/>
          <w:i/>
        </w:rPr>
        <w:t>he status quo</w:t>
      </w:r>
    </w:p>
    <w:p w:rsidR="007D11A4" w:rsidRPr="00962D54" w:rsidRDefault="007D11A4" w:rsidP="007D11A4">
      <w:pPr>
        <w:spacing w:before="100" w:beforeAutospacing="1" w:after="100" w:afterAutospacing="1"/>
        <w:jc w:val="both"/>
        <w:rPr>
          <w:rFonts w:cs="Arial"/>
        </w:rPr>
      </w:pPr>
      <w:r>
        <w:rPr>
          <w:rFonts w:cs="Arial"/>
        </w:rPr>
        <w:t>It is now the case that</w:t>
      </w:r>
      <w:r w:rsidRPr="00962D54">
        <w:rPr>
          <w:rFonts w:cs="Arial"/>
        </w:rPr>
        <w:t xml:space="preserve"> judicial review is no longer anchored in the developing common law but in ‘the fairly rigid Australian constitutional structure’.</w:t>
      </w:r>
      <w:r w:rsidRPr="00962D54">
        <w:rPr>
          <w:rFonts w:cs="Arial"/>
          <w:vertAlign w:val="superscript"/>
        </w:rPr>
        <w:endnoteReference w:id="57"/>
      </w:r>
      <w:r w:rsidRPr="00962D54">
        <w:rPr>
          <w:rFonts w:cs="Arial"/>
        </w:rPr>
        <w:t xml:space="preserve"> This is seen by some as simply the natural and inevitable conclusion of our having a written constitution to begin with,</w:t>
      </w:r>
      <w:r w:rsidRPr="00962D54">
        <w:rPr>
          <w:rStyle w:val="EndnoteReference"/>
          <w:rFonts w:cs="Arial"/>
        </w:rPr>
        <w:endnoteReference w:id="58"/>
      </w:r>
      <w:r w:rsidRPr="00962D54">
        <w:rPr>
          <w:rFonts w:cs="Arial"/>
        </w:rPr>
        <w:t xml:space="preserve"> while others worry that the </w:t>
      </w:r>
      <w:r w:rsidRPr="00962D54">
        <w:rPr>
          <w:rFonts w:cs="Arial"/>
          <w:i/>
          <w:iCs/>
        </w:rPr>
        <w:t>Constitution</w:t>
      </w:r>
      <w:r w:rsidRPr="00962D54">
        <w:rPr>
          <w:rFonts w:cs="Arial"/>
        </w:rPr>
        <w:t xml:space="preserve"> will only continue its hegemonic advance, </w:t>
      </w:r>
      <w:proofErr w:type="spellStart"/>
      <w:r w:rsidRPr="00962D54">
        <w:rPr>
          <w:rFonts w:cs="Arial"/>
        </w:rPr>
        <w:t>Spigelman</w:t>
      </w:r>
      <w:proofErr w:type="spellEnd"/>
      <w:r w:rsidRPr="00962D54">
        <w:rPr>
          <w:rFonts w:cs="Arial"/>
        </w:rPr>
        <w:t xml:space="preserve"> suggest</w:t>
      </w:r>
      <w:r>
        <w:rPr>
          <w:rFonts w:cs="Arial"/>
        </w:rPr>
        <w:t>s</w:t>
      </w:r>
      <w:r w:rsidRPr="00962D54">
        <w:rPr>
          <w:rFonts w:cs="Arial"/>
        </w:rPr>
        <w:t xml:space="preserve"> that another domain ‘on the cusp of being constitutionalised’ is the structure of state constitutions.</w:t>
      </w:r>
      <w:r w:rsidRPr="00962D54">
        <w:rPr>
          <w:rFonts w:cs="Arial"/>
          <w:vertAlign w:val="superscript"/>
        </w:rPr>
        <w:endnoteReference w:id="59"/>
      </w:r>
      <w:r w:rsidRPr="00962D54">
        <w:rPr>
          <w:rFonts w:cs="Arial"/>
        </w:rPr>
        <w:t xml:space="preserve"> </w:t>
      </w:r>
    </w:p>
    <w:p w:rsidR="007D11A4" w:rsidRPr="00962D54" w:rsidRDefault="007D11A4" w:rsidP="007D11A4">
      <w:pPr>
        <w:spacing w:before="100" w:beforeAutospacing="1" w:after="100" w:afterAutospacing="1"/>
        <w:jc w:val="both"/>
        <w:rPr>
          <w:rFonts w:cs="Arial"/>
        </w:rPr>
      </w:pPr>
      <w:r w:rsidRPr="00962D54">
        <w:rPr>
          <w:rFonts w:cs="Arial"/>
        </w:rPr>
        <w:t xml:space="preserve">Stephen </w:t>
      </w:r>
      <w:proofErr w:type="spellStart"/>
      <w:r w:rsidRPr="00962D54">
        <w:rPr>
          <w:rFonts w:cs="Arial"/>
        </w:rPr>
        <w:t>Gageler</w:t>
      </w:r>
      <w:proofErr w:type="spellEnd"/>
      <w:r w:rsidRPr="00962D54">
        <w:rPr>
          <w:rFonts w:cs="Arial"/>
        </w:rPr>
        <w:t xml:space="preserve"> </w:t>
      </w:r>
      <w:r>
        <w:rPr>
          <w:rFonts w:cs="Arial"/>
        </w:rPr>
        <w:t xml:space="preserve">has </w:t>
      </w:r>
      <w:r w:rsidRPr="00962D54">
        <w:rPr>
          <w:rFonts w:cs="Arial"/>
        </w:rPr>
        <w:t>describe</w:t>
      </w:r>
      <w:r>
        <w:rPr>
          <w:rFonts w:cs="Arial"/>
        </w:rPr>
        <w:t>d</w:t>
      </w:r>
      <w:r w:rsidRPr="00962D54">
        <w:rPr>
          <w:rFonts w:cs="Arial"/>
        </w:rPr>
        <w:t xml:space="preserve"> the post-</w:t>
      </w:r>
      <w:r w:rsidRPr="00962D54">
        <w:rPr>
          <w:rFonts w:cs="Arial"/>
          <w:i/>
          <w:iCs/>
        </w:rPr>
        <w:t>Kirk</w:t>
      </w:r>
      <w:r w:rsidRPr="00962D54">
        <w:rPr>
          <w:rFonts w:cs="Arial"/>
        </w:rPr>
        <w:t xml:space="preserve"> state of affairs as a ‘grand and elegant constitutional scheme; a new paradigm’.</w:t>
      </w:r>
      <w:r w:rsidRPr="00962D54">
        <w:rPr>
          <w:rFonts w:cs="Arial"/>
          <w:vertAlign w:val="superscript"/>
        </w:rPr>
        <w:endnoteReference w:id="60"/>
      </w:r>
      <w:r w:rsidRPr="00962D54">
        <w:rPr>
          <w:rFonts w:cs="Arial"/>
        </w:rPr>
        <w:t xml:space="preserve"> As a recently appointed High Court judge, his view should be of particular interest to administrative lawyers,</w:t>
      </w:r>
      <w:r w:rsidRPr="00962D54">
        <w:rPr>
          <w:rStyle w:val="EndnoteReference"/>
          <w:rFonts w:cs="Arial"/>
        </w:rPr>
        <w:endnoteReference w:id="61"/>
      </w:r>
      <w:r w:rsidRPr="00962D54">
        <w:rPr>
          <w:rFonts w:cs="Arial"/>
        </w:rPr>
        <w:t xml:space="preserve"> yet though he has written extensively on the topic, it is remarkably difficult to detect in his tone a clear stance for or against the trend; at best it may be said that his Honour appears to admire the strength of the reasoning behind the present incarnation of judicial review,</w:t>
      </w:r>
      <w:r w:rsidRPr="00962D54">
        <w:rPr>
          <w:rFonts w:cs="Arial"/>
          <w:vertAlign w:val="superscript"/>
        </w:rPr>
        <w:endnoteReference w:id="62"/>
      </w:r>
      <w:r w:rsidRPr="00962D54">
        <w:rPr>
          <w:rFonts w:cs="Arial"/>
        </w:rPr>
        <w:t xml:space="preserve"> while at the same time highlighting – often almost clinically – its latent flaws, such as its clear ‘ultra vires’ focus</w:t>
      </w:r>
      <w:r w:rsidRPr="00962D54">
        <w:rPr>
          <w:rFonts w:cs="Arial"/>
          <w:vertAlign w:val="superscript"/>
        </w:rPr>
        <w:endnoteReference w:id="63"/>
      </w:r>
      <w:r w:rsidRPr="00962D54">
        <w:rPr>
          <w:rFonts w:cs="Arial"/>
        </w:rPr>
        <w:t xml:space="preserve"> and its non-conformity with international counterparts.</w:t>
      </w:r>
      <w:r w:rsidRPr="00962D54">
        <w:rPr>
          <w:rFonts w:cs="Arial"/>
          <w:vertAlign w:val="superscript"/>
        </w:rPr>
        <w:endnoteReference w:id="64"/>
      </w:r>
      <w:r w:rsidRPr="00962D54">
        <w:rPr>
          <w:rFonts w:cs="Arial"/>
        </w:rPr>
        <w:t xml:space="preserve"> </w:t>
      </w:r>
    </w:p>
    <w:p w:rsidR="007D11A4" w:rsidRPr="00962D54" w:rsidRDefault="007D11A4" w:rsidP="007D11A4">
      <w:pPr>
        <w:spacing w:before="100" w:beforeAutospacing="1" w:after="100" w:afterAutospacing="1"/>
        <w:jc w:val="both"/>
        <w:rPr>
          <w:rFonts w:cs="Arial"/>
        </w:rPr>
      </w:pPr>
      <w:r w:rsidRPr="00962D54">
        <w:rPr>
          <w:rFonts w:cs="Arial"/>
        </w:rPr>
        <w:t>Others are more overt in their criticism.  Daryl Williams (the the</w:t>
      </w:r>
      <w:r>
        <w:rPr>
          <w:rFonts w:cs="Arial"/>
        </w:rPr>
        <w:t>n</w:t>
      </w:r>
      <w:r w:rsidRPr="00962D54">
        <w:rPr>
          <w:rFonts w:cs="Arial"/>
        </w:rPr>
        <w:t xml:space="preserve"> Commonwealth Attorney-General) denounced the </w:t>
      </w:r>
      <w:proofErr w:type="spellStart"/>
      <w:r w:rsidRPr="00962D54">
        <w:rPr>
          <w:rFonts w:cs="Arial"/>
        </w:rPr>
        <w:t>constitutionalisation</w:t>
      </w:r>
      <w:proofErr w:type="spellEnd"/>
      <w:r w:rsidRPr="00962D54">
        <w:rPr>
          <w:rFonts w:cs="Arial"/>
        </w:rPr>
        <w:t xml:space="preserve"> of judicial review as impeding the ‘efficiency, effectiveness and accessibility of justice’,</w:t>
      </w:r>
      <w:r w:rsidRPr="00962D54">
        <w:rPr>
          <w:rFonts w:cs="Arial"/>
          <w:vertAlign w:val="superscript"/>
        </w:rPr>
        <w:endnoteReference w:id="65"/>
      </w:r>
      <w:r w:rsidRPr="00962D54">
        <w:rPr>
          <w:rFonts w:cs="Arial"/>
        </w:rPr>
        <w:t xml:space="preserve"> with Cane concurring – before </w:t>
      </w:r>
      <w:r w:rsidRPr="00962D54">
        <w:rPr>
          <w:rFonts w:cs="Arial"/>
          <w:i/>
        </w:rPr>
        <w:t>Kirk</w:t>
      </w:r>
      <w:r w:rsidRPr="00962D54">
        <w:rPr>
          <w:rFonts w:cs="Arial"/>
        </w:rPr>
        <w:t xml:space="preserve"> – that our present system is complex and technical,</w:t>
      </w:r>
      <w:r w:rsidRPr="00962D54">
        <w:rPr>
          <w:rStyle w:val="EndnoteReference"/>
          <w:rFonts w:cs="Arial"/>
        </w:rPr>
        <w:endnoteReference w:id="66"/>
      </w:r>
      <w:r w:rsidRPr="00962D54">
        <w:rPr>
          <w:rFonts w:cs="Arial"/>
        </w:rPr>
        <w:t xml:space="preserve"> and is rendered all the more so by the ‘unattractive spectre of a trifurcation of Australian administrative law into common law, statutory and constitutional regimes’.</w:t>
      </w:r>
      <w:r w:rsidRPr="00962D54">
        <w:rPr>
          <w:rFonts w:cs="Arial"/>
          <w:vertAlign w:val="superscript"/>
        </w:rPr>
        <w:endnoteReference w:id="67"/>
      </w:r>
      <w:r w:rsidRPr="00962D54">
        <w:rPr>
          <w:rFonts w:cs="Arial"/>
        </w:rPr>
        <w:t xml:space="preserve"> Taggart has famously lamented the </w:t>
      </w:r>
      <w:proofErr w:type="spellStart"/>
      <w:r w:rsidRPr="00962D54">
        <w:rPr>
          <w:rFonts w:cs="Arial"/>
        </w:rPr>
        <w:t>exceptionalism</w:t>
      </w:r>
      <w:proofErr w:type="spellEnd"/>
      <w:r w:rsidRPr="00962D54">
        <w:rPr>
          <w:rFonts w:cs="Arial"/>
        </w:rPr>
        <w:t xml:space="preserve"> of our judicial review</w:t>
      </w:r>
      <w:r w:rsidRPr="00962D54">
        <w:rPr>
          <w:rStyle w:val="EndnoteReference"/>
          <w:rFonts w:cs="Arial"/>
        </w:rPr>
        <w:endnoteReference w:id="68"/>
      </w:r>
      <w:r w:rsidRPr="00962D54">
        <w:rPr>
          <w:rFonts w:cs="Arial"/>
        </w:rPr>
        <w:t xml:space="preserve">  – or in the alternative, the ‘</w:t>
      </w:r>
      <w:proofErr w:type="spellStart"/>
      <w:r w:rsidRPr="00962D54">
        <w:rPr>
          <w:rFonts w:cs="Arial"/>
        </w:rPr>
        <w:t>Australianisation</w:t>
      </w:r>
      <w:proofErr w:type="spellEnd"/>
      <w:r w:rsidRPr="00962D54">
        <w:rPr>
          <w:rFonts w:cs="Arial"/>
        </w:rPr>
        <w:t xml:space="preserve"> of our law’</w:t>
      </w:r>
      <w:r w:rsidRPr="00962D54">
        <w:rPr>
          <w:rFonts w:cs="Arial"/>
          <w:vertAlign w:val="superscript"/>
        </w:rPr>
        <w:endnoteReference w:id="69"/>
      </w:r>
      <w:r w:rsidRPr="00962D54">
        <w:rPr>
          <w:rFonts w:cs="Arial"/>
        </w:rPr>
        <w:t xml:space="preserve"> (with its </w:t>
      </w:r>
      <w:r w:rsidRPr="00962D54">
        <w:rPr>
          <w:rFonts w:cs="Arial"/>
        </w:rPr>
        <w:lastRenderedPageBreak/>
        <w:t>charming ‘</w:t>
      </w:r>
      <w:proofErr w:type="spellStart"/>
      <w:r w:rsidRPr="00962D54">
        <w:rPr>
          <w:rFonts w:cs="Arial"/>
        </w:rPr>
        <w:t>tinge</w:t>
      </w:r>
      <w:proofErr w:type="spellEnd"/>
      <w:r w:rsidRPr="00962D54">
        <w:rPr>
          <w:rFonts w:cs="Arial"/>
        </w:rPr>
        <w:t xml:space="preserve"> of jingoism’)</w:t>
      </w:r>
      <w:r w:rsidRPr="00962D54">
        <w:rPr>
          <w:rFonts w:cs="Arial"/>
          <w:vertAlign w:val="superscript"/>
        </w:rPr>
        <w:endnoteReference w:id="70"/>
      </w:r>
      <w:r w:rsidRPr="00962D54">
        <w:rPr>
          <w:rFonts w:cs="Arial"/>
        </w:rPr>
        <w:t xml:space="preserve"> – arguing that our rigid separation of powers,</w:t>
      </w:r>
      <w:r w:rsidRPr="00962D54">
        <w:rPr>
          <w:rFonts w:cs="Arial"/>
          <w:vertAlign w:val="superscript"/>
        </w:rPr>
        <w:t xml:space="preserve"> </w:t>
      </w:r>
      <w:r w:rsidRPr="00962D54">
        <w:rPr>
          <w:rFonts w:cs="Arial"/>
          <w:vertAlign w:val="superscript"/>
        </w:rPr>
        <w:endnoteReference w:id="71"/>
      </w:r>
      <w:r w:rsidRPr="00962D54">
        <w:rPr>
          <w:rFonts w:cs="Arial"/>
        </w:rPr>
        <w:t xml:space="preserve"> our lack of a bill of rights,</w:t>
      </w:r>
      <w:r w:rsidRPr="00962D54">
        <w:rPr>
          <w:rFonts w:cs="Arial"/>
          <w:vertAlign w:val="superscript"/>
        </w:rPr>
        <w:endnoteReference w:id="72"/>
      </w:r>
      <w:r w:rsidRPr="00962D54">
        <w:rPr>
          <w:rFonts w:cs="Arial"/>
        </w:rPr>
        <w:t xml:space="preserve"> and our commitment to ‘bottom-up’ reasoning</w:t>
      </w:r>
      <w:r w:rsidRPr="00962D54">
        <w:rPr>
          <w:rStyle w:val="EndnoteReference"/>
          <w:rFonts w:cs="Arial"/>
        </w:rPr>
        <w:endnoteReference w:id="73"/>
      </w:r>
      <w:r w:rsidRPr="00962D54">
        <w:rPr>
          <w:rFonts w:cs="Arial"/>
        </w:rPr>
        <w:t xml:space="preserve"> have combined to isolate Australia from other English-speaking democracies. While this view itself is not immune from critique – Poole, for instance, notes that the human rights impetus behind developments abroad is ‘not likely to produce anything like a normat</w:t>
      </w:r>
      <w:r w:rsidR="006D7AC4">
        <w:rPr>
          <w:rFonts w:cs="Arial"/>
        </w:rPr>
        <w:t>ively unified jurisprudence’ -</w:t>
      </w:r>
      <w:r w:rsidRPr="00962D54">
        <w:rPr>
          <w:rFonts w:cs="Arial"/>
        </w:rPr>
        <w:t xml:space="preserve"> why lose sleep about our isolation from it?</w:t>
      </w:r>
      <w:r w:rsidRPr="00962D54">
        <w:rPr>
          <w:rFonts w:cs="Arial"/>
          <w:vertAlign w:val="superscript"/>
        </w:rPr>
        <w:t xml:space="preserve"> </w:t>
      </w:r>
      <w:r w:rsidRPr="00962D54">
        <w:rPr>
          <w:rFonts w:cs="Arial"/>
          <w:vertAlign w:val="superscript"/>
        </w:rPr>
        <w:endnoteReference w:id="74"/>
      </w:r>
      <w:r w:rsidRPr="00962D54">
        <w:rPr>
          <w:rFonts w:cs="Arial"/>
        </w:rPr>
        <w:t xml:space="preserve">  Taggart’s article remains highly influential six years after its publication, and its main concerns inform much of the following analysis.    </w:t>
      </w:r>
    </w:p>
    <w:p w:rsidR="007D11A4" w:rsidRPr="00962D54" w:rsidRDefault="007D11A4" w:rsidP="007D11A4">
      <w:pPr>
        <w:spacing w:before="100" w:beforeAutospacing="1" w:after="100" w:afterAutospacing="1"/>
        <w:rPr>
          <w:rFonts w:cs="Arial"/>
          <w:b/>
          <w:bCs/>
          <w:i/>
        </w:rPr>
      </w:pPr>
      <w:r w:rsidRPr="00962D54">
        <w:rPr>
          <w:rFonts w:cs="Arial"/>
          <w:b/>
          <w:bCs/>
          <w:i/>
        </w:rPr>
        <w:t>Jurisdictional error</w:t>
      </w:r>
    </w:p>
    <w:p w:rsidR="007D11A4" w:rsidRPr="00962D54" w:rsidRDefault="007D11A4" w:rsidP="007D11A4">
      <w:pPr>
        <w:spacing w:before="100" w:beforeAutospacing="1" w:after="100" w:afterAutospacing="1"/>
        <w:jc w:val="both"/>
        <w:rPr>
          <w:rFonts w:cs="Arial"/>
        </w:rPr>
      </w:pPr>
      <w:r w:rsidRPr="00962D54">
        <w:rPr>
          <w:rFonts w:cs="Arial"/>
        </w:rPr>
        <w:t xml:space="preserve">Having considered general reactions to the </w:t>
      </w:r>
      <w:proofErr w:type="spellStart"/>
      <w:r w:rsidRPr="00962D54">
        <w:rPr>
          <w:rFonts w:cs="Arial"/>
        </w:rPr>
        <w:t>constitutionalisation</w:t>
      </w:r>
      <w:proofErr w:type="spellEnd"/>
      <w:r w:rsidRPr="00962D54">
        <w:rPr>
          <w:rFonts w:cs="Arial"/>
        </w:rPr>
        <w:t xml:space="preserve"> of administrative law, </w:t>
      </w:r>
      <w:r>
        <w:rPr>
          <w:rFonts w:cs="Arial"/>
        </w:rPr>
        <w:t>a</w:t>
      </w:r>
      <w:r w:rsidRPr="00962D54">
        <w:rPr>
          <w:rFonts w:cs="Arial"/>
        </w:rPr>
        <w:t xml:space="preserve"> specific bugbear</w:t>
      </w:r>
      <w:r>
        <w:rPr>
          <w:rFonts w:cs="Arial"/>
        </w:rPr>
        <w:t xml:space="preserve"> identified</w:t>
      </w:r>
      <w:r w:rsidRPr="00962D54">
        <w:rPr>
          <w:rFonts w:cs="Arial"/>
        </w:rPr>
        <w:t xml:space="preserve"> </w:t>
      </w:r>
      <w:r>
        <w:rPr>
          <w:rFonts w:cs="Arial"/>
        </w:rPr>
        <w:t>is</w:t>
      </w:r>
      <w:r w:rsidRPr="00962D54">
        <w:rPr>
          <w:rFonts w:cs="Arial"/>
        </w:rPr>
        <w:t xml:space="preserve"> jurisdictional error.</w:t>
      </w:r>
      <w:r w:rsidRPr="00962D54">
        <w:rPr>
          <w:rFonts w:cs="Arial"/>
          <w:vertAlign w:val="superscript"/>
        </w:rPr>
        <w:endnoteReference w:id="75"/>
      </w:r>
      <w:r w:rsidRPr="00962D54">
        <w:rPr>
          <w:rFonts w:cs="Arial"/>
        </w:rPr>
        <w:t xml:space="preserve"> Jurisdictional error is now the ‘central unifying principle of administrative law’,</w:t>
      </w:r>
      <w:r w:rsidRPr="00962D54">
        <w:rPr>
          <w:rFonts w:cs="Arial"/>
          <w:vertAlign w:val="superscript"/>
        </w:rPr>
        <w:endnoteReference w:id="76"/>
      </w:r>
      <w:r w:rsidRPr="00962D54">
        <w:rPr>
          <w:rFonts w:cs="Arial"/>
        </w:rPr>
        <w:t xml:space="preserve"> yet uncertainty still abounds about what precisely it is and how exactly it works. The usual objection is that it is a ‘</w:t>
      </w:r>
      <w:proofErr w:type="spellStart"/>
      <w:r w:rsidRPr="00962D54">
        <w:rPr>
          <w:rFonts w:cs="Arial"/>
        </w:rPr>
        <w:t>conclusory</w:t>
      </w:r>
      <w:proofErr w:type="spellEnd"/>
      <w:r w:rsidRPr="00962D54">
        <w:rPr>
          <w:rFonts w:cs="Arial"/>
        </w:rPr>
        <w:t xml:space="preserve"> label’,</w:t>
      </w:r>
      <w:r w:rsidRPr="00962D54">
        <w:rPr>
          <w:rFonts w:cs="Arial"/>
          <w:vertAlign w:val="superscript"/>
        </w:rPr>
        <w:endnoteReference w:id="77"/>
      </w:r>
      <w:r w:rsidRPr="00962D54">
        <w:rPr>
          <w:rFonts w:cs="Arial"/>
        </w:rPr>
        <w:t xml:space="preserve"> describing simply a mode of stating a conclusion without providing any useful guidance about how to arrive there.</w:t>
      </w:r>
      <w:r w:rsidRPr="00962D54">
        <w:rPr>
          <w:rFonts w:cs="Arial"/>
          <w:vertAlign w:val="superscript"/>
        </w:rPr>
        <w:endnoteReference w:id="78"/>
      </w:r>
      <w:r w:rsidRPr="00962D54">
        <w:rPr>
          <w:rFonts w:cs="Arial"/>
        </w:rPr>
        <w:t xml:space="preserve"> John </w:t>
      </w:r>
      <w:proofErr w:type="spellStart"/>
      <w:r w:rsidRPr="00962D54">
        <w:rPr>
          <w:rFonts w:cs="Arial"/>
        </w:rPr>
        <w:t>Basten</w:t>
      </w:r>
      <w:proofErr w:type="spellEnd"/>
      <w:r w:rsidRPr="00962D54">
        <w:rPr>
          <w:rFonts w:cs="Arial"/>
        </w:rPr>
        <w:t xml:space="preserve"> rebuts this with the pithy explanation that to acknowledge an error as jurisdictional is simply ‘to identify its consequence as invalidity’, and that the reasoning used to get there is ‘neither exotic nor esoteric’.</w:t>
      </w:r>
      <w:r w:rsidRPr="00962D54">
        <w:rPr>
          <w:rFonts w:cs="Arial"/>
          <w:vertAlign w:val="superscript"/>
        </w:rPr>
        <w:endnoteReference w:id="79"/>
      </w:r>
      <w:r w:rsidRPr="00962D54">
        <w:rPr>
          <w:rFonts w:cs="Arial"/>
        </w:rPr>
        <w:t xml:space="preserve"> The process, he continues, has two steps</w:t>
      </w:r>
      <w:r>
        <w:rPr>
          <w:rFonts w:cs="Arial"/>
        </w:rPr>
        <w:t>:</w:t>
      </w:r>
      <w:r w:rsidRPr="00962D54">
        <w:rPr>
          <w:rFonts w:cs="Arial"/>
        </w:rPr>
        <w:t xml:space="preserve"> the scope of the statutory power is determined and the ‘essential common law features which impose legal constraints on the power’ are applied.</w:t>
      </w:r>
      <w:r w:rsidRPr="00962D54">
        <w:rPr>
          <w:rFonts w:cs="Arial"/>
          <w:vertAlign w:val="superscript"/>
        </w:rPr>
        <w:endnoteReference w:id="80"/>
      </w:r>
      <w:r w:rsidRPr="00962D54">
        <w:rPr>
          <w:rFonts w:cs="Arial"/>
        </w:rPr>
        <w:t xml:space="preserve"> It is the second part of this approach that is usually objected to, as it exposes jurisdictional error not as ‘a metaphysical absolute’ but simply the expression of ‘the gravity of the error’,</w:t>
      </w:r>
      <w:r w:rsidRPr="00962D54">
        <w:rPr>
          <w:rFonts w:cs="Arial"/>
          <w:vertAlign w:val="superscript"/>
        </w:rPr>
        <w:endnoteReference w:id="81"/>
      </w:r>
      <w:r w:rsidRPr="00962D54">
        <w:rPr>
          <w:rFonts w:cs="Arial"/>
        </w:rPr>
        <w:t xml:space="preserve"> and because finding such an error is an inescapably value-laden exercise, guided by questions of degree, a</w:t>
      </w:r>
      <w:r>
        <w:rPr>
          <w:rFonts w:cs="Arial"/>
        </w:rPr>
        <w:t>nd a</w:t>
      </w:r>
      <w:r w:rsidRPr="00962D54">
        <w:rPr>
          <w:rFonts w:cs="Arial"/>
        </w:rPr>
        <w:t>ll</w:t>
      </w:r>
      <w:r>
        <w:rPr>
          <w:rFonts w:cs="Arial"/>
        </w:rPr>
        <w:t xml:space="preserve"> the</w:t>
      </w:r>
      <w:r w:rsidRPr="00962D54">
        <w:rPr>
          <w:rFonts w:cs="Arial"/>
        </w:rPr>
        <w:t xml:space="preserve"> while the term purports to be a stark binomial descriptor.</w:t>
      </w:r>
      <w:r w:rsidRPr="00962D54">
        <w:rPr>
          <w:rFonts w:cs="Arial"/>
          <w:vertAlign w:val="superscript"/>
        </w:rPr>
        <w:endnoteReference w:id="82"/>
      </w:r>
      <w:r w:rsidRPr="00962D54">
        <w:rPr>
          <w:rFonts w:cs="Arial"/>
        </w:rPr>
        <w:t xml:space="preserve"> </w:t>
      </w:r>
    </w:p>
    <w:p w:rsidR="007D11A4" w:rsidRPr="00962D54" w:rsidRDefault="007D11A4" w:rsidP="007D11A4">
      <w:pPr>
        <w:spacing w:before="100" w:beforeAutospacing="1" w:after="100" w:afterAutospacing="1"/>
        <w:jc w:val="both"/>
        <w:rPr>
          <w:rFonts w:cs="Arial"/>
        </w:rPr>
      </w:pPr>
      <w:r w:rsidRPr="00962D54">
        <w:rPr>
          <w:rFonts w:cs="Arial"/>
        </w:rPr>
        <w:t xml:space="preserve">Further, the specific grounds on which jurisdictional error can be found are not settled, with </w:t>
      </w:r>
      <w:r w:rsidRPr="00962D54">
        <w:rPr>
          <w:rFonts w:cs="Arial"/>
          <w:i/>
          <w:iCs/>
        </w:rPr>
        <w:t>Kirk</w:t>
      </w:r>
      <w:r w:rsidRPr="00962D54">
        <w:rPr>
          <w:rFonts w:cs="Arial"/>
        </w:rPr>
        <w:t xml:space="preserve"> holding that it is ‘neither necessary, no</w:t>
      </w:r>
      <w:r>
        <w:rPr>
          <w:rFonts w:cs="Arial"/>
        </w:rPr>
        <w:t>r</w:t>
      </w:r>
      <w:r w:rsidRPr="00962D54">
        <w:rPr>
          <w:rFonts w:cs="Arial"/>
        </w:rPr>
        <w:t xml:space="preserve"> possible, to attempt to mark out the metes and bounds of jurisdictional error’.</w:t>
      </w:r>
      <w:r w:rsidRPr="00962D54">
        <w:rPr>
          <w:rFonts w:cs="Arial"/>
          <w:vertAlign w:val="superscript"/>
        </w:rPr>
        <w:endnoteReference w:id="83"/>
      </w:r>
      <w:r w:rsidRPr="00962D54">
        <w:rPr>
          <w:rFonts w:cs="Arial"/>
        </w:rPr>
        <w:t xml:space="preserve"> Even the existing grounds are supposed to be imprecise, with Groves disparaging their ‘obscure [and] malleable’ nature.</w:t>
      </w:r>
      <w:r w:rsidRPr="00962D54">
        <w:rPr>
          <w:rFonts w:cs="Arial"/>
          <w:vertAlign w:val="superscript"/>
        </w:rPr>
        <w:endnoteReference w:id="84"/>
      </w:r>
      <w:r w:rsidRPr="00962D54">
        <w:rPr>
          <w:rFonts w:cs="Arial"/>
        </w:rPr>
        <w:t xml:space="preserve"> That author note</w:t>
      </w:r>
      <w:r>
        <w:rPr>
          <w:rFonts w:cs="Arial"/>
        </w:rPr>
        <w:t>s</w:t>
      </w:r>
      <w:r w:rsidRPr="00962D54">
        <w:rPr>
          <w:rFonts w:cs="Arial"/>
        </w:rPr>
        <w:t xml:space="preserve"> </w:t>
      </w:r>
      <w:r>
        <w:rPr>
          <w:rFonts w:cs="Arial"/>
        </w:rPr>
        <w:t>that</w:t>
      </w:r>
      <w:r w:rsidRPr="00962D54">
        <w:rPr>
          <w:rFonts w:cs="Arial"/>
        </w:rPr>
        <w:t xml:space="preserve"> judicial findings of jurisdictional error have little value because of ‘the vague and context-dependent process by which limitations and duties are implied’</w:t>
      </w:r>
      <w:r>
        <w:rPr>
          <w:rFonts w:cs="Arial"/>
        </w:rPr>
        <w:t>;</w:t>
      </w:r>
      <w:r w:rsidRPr="00962D54">
        <w:rPr>
          <w:rFonts w:cs="Arial"/>
          <w:vertAlign w:val="superscript"/>
        </w:rPr>
        <w:endnoteReference w:id="85"/>
      </w:r>
      <w:r w:rsidRPr="00962D54">
        <w:rPr>
          <w:rFonts w:cs="Arial"/>
        </w:rPr>
        <w:t xml:space="preserve"> </w:t>
      </w:r>
      <w:r>
        <w:rPr>
          <w:rFonts w:cs="Arial"/>
        </w:rPr>
        <w:t>this</w:t>
      </w:r>
      <w:r w:rsidRPr="00962D54">
        <w:rPr>
          <w:rFonts w:cs="Arial"/>
        </w:rPr>
        <w:t xml:space="preserve"> comment is particularly relevant now given that the entire doctrine of jurisdictional error has effectively been transplanted to another new context: the </w:t>
      </w:r>
      <w:r w:rsidRPr="00962D54">
        <w:rPr>
          <w:rFonts w:cs="Arial"/>
          <w:i/>
          <w:iCs/>
        </w:rPr>
        <w:t>Constitution</w:t>
      </w:r>
      <w:r w:rsidRPr="00962D54">
        <w:rPr>
          <w:rFonts w:cs="Arial"/>
        </w:rPr>
        <w:t>. Nobody seems to know whether the scope and nature of jurisdictional error in its constitutional guise is the same as in its traditional conception</w:t>
      </w:r>
      <w:r>
        <w:rPr>
          <w:rFonts w:cs="Arial"/>
        </w:rPr>
        <w:t>.</w:t>
      </w:r>
      <w:r w:rsidRPr="00962D54">
        <w:rPr>
          <w:rFonts w:cs="Arial"/>
          <w:vertAlign w:val="superscript"/>
        </w:rPr>
        <w:endnoteReference w:id="86"/>
      </w:r>
      <w:r w:rsidRPr="00962D54">
        <w:rPr>
          <w:rFonts w:cs="Arial"/>
        </w:rPr>
        <w:t xml:space="preserve">  </w:t>
      </w:r>
      <w:r>
        <w:rPr>
          <w:rFonts w:cs="Arial"/>
        </w:rPr>
        <w:t>T</w:t>
      </w:r>
      <w:r w:rsidRPr="00962D54">
        <w:rPr>
          <w:rFonts w:cs="Arial"/>
        </w:rPr>
        <w:t>his is a matter for the High Court to decide.</w:t>
      </w:r>
      <w:r w:rsidRPr="00962D54">
        <w:rPr>
          <w:rFonts w:cs="Arial"/>
          <w:vertAlign w:val="superscript"/>
        </w:rPr>
        <w:endnoteReference w:id="87"/>
      </w:r>
      <w:r w:rsidRPr="00962D54">
        <w:rPr>
          <w:rFonts w:cs="Arial"/>
        </w:rPr>
        <w:t xml:space="preserve"> </w:t>
      </w:r>
    </w:p>
    <w:p w:rsidR="007D11A4" w:rsidRPr="00962D54" w:rsidRDefault="007D11A4" w:rsidP="007D11A4">
      <w:pPr>
        <w:spacing w:before="100" w:beforeAutospacing="1" w:after="100" w:afterAutospacing="1"/>
        <w:rPr>
          <w:rFonts w:cs="Arial"/>
          <w:b/>
          <w:bCs/>
          <w:i/>
        </w:rPr>
      </w:pPr>
      <w:r w:rsidRPr="00962D54">
        <w:rPr>
          <w:rFonts w:cs="Arial"/>
          <w:b/>
          <w:bCs/>
          <w:i/>
        </w:rPr>
        <w:t xml:space="preserve">Qualitative </w:t>
      </w:r>
      <w:r>
        <w:rPr>
          <w:rFonts w:cs="Arial"/>
          <w:b/>
          <w:bCs/>
          <w:i/>
        </w:rPr>
        <w:t>j</w:t>
      </w:r>
      <w:r w:rsidRPr="00962D54">
        <w:rPr>
          <w:rFonts w:cs="Arial"/>
          <w:b/>
          <w:bCs/>
          <w:i/>
        </w:rPr>
        <w:t xml:space="preserve">udicial </w:t>
      </w:r>
      <w:r>
        <w:rPr>
          <w:rFonts w:cs="Arial"/>
          <w:b/>
          <w:bCs/>
          <w:i/>
        </w:rPr>
        <w:t>r</w:t>
      </w:r>
      <w:r w:rsidRPr="00962D54">
        <w:rPr>
          <w:rFonts w:cs="Arial"/>
          <w:b/>
          <w:bCs/>
          <w:i/>
        </w:rPr>
        <w:t>eview</w:t>
      </w:r>
    </w:p>
    <w:p w:rsidR="007D11A4" w:rsidRPr="00962D54" w:rsidRDefault="007D11A4" w:rsidP="007D11A4">
      <w:pPr>
        <w:spacing w:before="100" w:beforeAutospacing="1" w:after="100" w:afterAutospacing="1"/>
        <w:jc w:val="both"/>
        <w:rPr>
          <w:rFonts w:cs="Arial"/>
        </w:rPr>
      </w:pPr>
      <w:r w:rsidRPr="00962D54">
        <w:rPr>
          <w:rFonts w:cs="Arial"/>
        </w:rPr>
        <w:t>I use ‘qualitative judicial review’ as an imperfect catch-all term t</w:t>
      </w:r>
      <w:r>
        <w:rPr>
          <w:rFonts w:cs="Arial"/>
        </w:rPr>
        <w:t>o</w:t>
      </w:r>
      <w:r w:rsidRPr="00962D54">
        <w:rPr>
          <w:rFonts w:cs="Arial"/>
        </w:rPr>
        <w:t xml:space="preserve"> refer to the merits branch of any of a number of dichotomies: merits/legality, substance/process, </w:t>
      </w:r>
      <w:r>
        <w:rPr>
          <w:rFonts w:cs="Arial"/>
        </w:rPr>
        <w:t xml:space="preserve">and </w:t>
      </w:r>
      <w:r w:rsidRPr="00962D54">
        <w:rPr>
          <w:rFonts w:cs="Arial"/>
        </w:rPr>
        <w:t>policy/law.</w:t>
      </w:r>
      <w:r w:rsidRPr="00962D54">
        <w:rPr>
          <w:rFonts w:cs="Arial"/>
          <w:vertAlign w:val="superscript"/>
        </w:rPr>
        <w:endnoteReference w:id="88"/>
      </w:r>
      <w:r w:rsidRPr="00962D54">
        <w:rPr>
          <w:rFonts w:cs="Arial"/>
        </w:rPr>
        <w:t xml:space="preserve"> Aronson conceives of the dichotomy as being between ‘rules that seek to prescribe the things that an administrative decision-maker can do, and rules that seek to control how the decision-maker is to go about doing those things’</w:t>
      </w:r>
      <w:r>
        <w:rPr>
          <w:rFonts w:cs="Arial"/>
        </w:rPr>
        <w:t>;</w:t>
      </w:r>
      <w:r w:rsidRPr="00962D54">
        <w:rPr>
          <w:rFonts w:cs="Arial"/>
          <w:vertAlign w:val="superscript"/>
        </w:rPr>
        <w:endnoteReference w:id="89"/>
      </w:r>
      <w:r w:rsidRPr="00962D54">
        <w:rPr>
          <w:rFonts w:cs="Arial"/>
        </w:rPr>
        <w:t xml:space="preserve"> yet</w:t>
      </w:r>
      <w:r>
        <w:rPr>
          <w:rFonts w:cs="Arial"/>
        </w:rPr>
        <w:t>,</w:t>
      </w:r>
      <w:r w:rsidRPr="00962D54">
        <w:rPr>
          <w:rFonts w:cs="Arial"/>
        </w:rPr>
        <w:t xml:space="preserve"> to an extent</w:t>
      </w:r>
      <w:r>
        <w:rPr>
          <w:rFonts w:cs="Arial"/>
        </w:rPr>
        <w:t>,</w:t>
      </w:r>
      <w:r w:rsidRPr="00962D54">
        <w:rPr>
          <w:rFonts w:cs="Arial"/>
        </w:rPr>
        <w:t xml:space="preserve"> both of these – which deal with power and procedure respectively – are covered by the procedural law that the High Court has been more or less comfortable with since </w:t>
      </w:r>
      <w:r w:rsidRPr="00962D54">
        <w:rPr>
          <w:rFonts w:cs="Arial"/>
          <w:i/>
          <w:iCs/>
        </w:rPr>
        <w:t>Quin</w:t>
      </w:r>
      <w:r w:rsidRPr="00962D54">
        <w:rPr>
          <w:rFonts w:cs="Arial"/>
        </w:rPr>
        <w:t>.</w:t>
      </w:r>
      <w:r w:rsidRPr="00962D54">
        <w:rPr>
          <w:rStyle w:val="EndnoteReference"/>
          <w:rFonts w:cs="Arial"/>
        </w:rPr>
        <w:endnoteReference w:id="90"/>
      </w:r>
      <w:r w:rsidRPr="00962D54">
        <w:rPr>
          <w:rFonts w:cs="Arial"/>
        </w:rPr>
        <w:t xml:space="preserve"> Qualitative judicial review goes further, embracing considerations of what the decision-maker </w:t>
      </w:r>
      <w:r w:rsidRPr="00962D54">
        <w:rPr>
          <w:rFonts w:cs="Arial"/>
          <w:i/>
          <w:iCs/>
        </w:rPr>
        <w:t>should</w:t>
      </w:r>
      <w:r w:rsidRPr="00962D54">
        <w:rPr>
          <w:rFonts w:cs="Arial"/>
        </w:rPr>
        <w:t xml:space="preserve"> do, and here we see clearly our legality-centric constitutionally-informed judiciary actively eschewing any such considerations</w:t>
      </w:r>
      <w:r w:rsidRPr="00962D54">
        <w:rPr>
          <w:rFonts w:cs="Arial"/>
          <w:vertAlign w:val="superscript"/>
        </w:rPr>
        <w:t xml:space="preserve"> </w:t>
      </w:r>
      <w:r w:rsidRPr="00962D54">
        <w:rPr>
          <w:rFonts w:cs="Arial"/>
          <w:vertAlign w:val="superscript"/>
        </w:rPr>
        <w:endnoteReference w:id="91"/>
      </w:r>
      <w:r w:rsidRPr="00962D54">
        <w:rPr>
          <w:rFonts w:cs="Arial"/>
        </w:rPr>
        <w:t xml:space="preserve"> – ‘to the judges the law; to the others the merits’.</w:t>
      </w:r>
      <w:r w:rsidRPr="00962D54">
        <w:rPr>
          <w:rStyle w:val="EndnoteReference"/>
          <w:rFonts w:cs="Arial"/>
        </w:rPr>
        <w:endnoteReference w:id="92"/>
      </w:r>
      <w:r w:rsidRPr="00962D54">
        <w:rPr>
          <w:rFonts w:cs="Arial"/>
        </w:rPr>
        <w:t xml:space="preserve"> </w:t>
      </w:r>
    </w:p>
    <w:p w:rsidR="007D11A4" w:rsidRPr="00962D54" w:rsidRDefault="007D11A4" w:rsidP="007D11A4">
      <w:pPr>
        <w:spacing w:before="100" w:beforeAutospacing="1" w:after="100" w:afterAutospacing="1"/>
        <w:jc w:val="both"/>
        <w:rPr>
          <w:rFonts w:cs="Arial"/>
        </w:rPr>
      </w:pPr>
      <w:r w:rsidRPr="00962D54">
        <w:rPr>
          <w:rFonts w:cs="Arial"/>
        </w:rPr>
        <w:t>Some argue that this distinction is not only undesirable but also meaningless, as there is no ‘bright line’ between merits and law, leaving many considerations in the grey area between them.</w:t>
      </w:r>
      <w:r w:rsidRPr="00962D54">
        <w:rPr>
          <w:rFonts w:cs="Arial"/>
          <w:vertAlign w:val="superscript"/>
        </w:rPr>
        <w:endnoteReference w:id="93"/>
      </w:r>
      <w:r w:rsidRPr="00962D54">
        <w:rPr>
          <w:rFonts w:cs="Arial"/>
        </w:rPr>
        <w:t xml:space="preserve"> Murray Gleeson – amongst others – retorts that the difference between the two ‘is not always clear-cut; but neither is the difference between night and day. Twilight does not invalidate the distinction between night and day’.</w:t>
      </w:r>
      <w:r w:rsidRPr="00962D54">
        <w:rPr>
          <w:rFonts w:cs="Arial"/>
          <w:vertAlign w:val="superscript"/>
        </w:rPr>
        <w:endnoteReference w:id="94"/>
      </w:r>
      <w:r w:rsidRPr="00962D54">
        <w:rPr>
          <w:rFonts w:cs="Arial"/>
        </w:rPr>
        <w:t xml:space="preserve"> This may be so, but still there is </w:t>
      </w:r>
      <w:r w:rsidRPr="00962D54">
        <w:rPr>
          <w:rFonts w:cs="Arial"/>
        </w:rPr>
        <w:lastRenderedPageBreak/>
        <w:t>consternation that the merits/law distinction is now seen to be policed too legalistically in our constitutional context, especially whe</w:t>
      </w:r>
      <w:r>
        <w:rPr>
          <w:rFonts w:cs="Arial"/>
        </w:rPr>
        <w:t>n</w:t>
      </w:r>
      <w:r w:rsidRPr="00962D54">
        <w:rPr>
          <w:rFonts w:cs="Arial"/>
        </w:rPr>
        <w:t xml:space="preserve"> the very inquiry said to be heretical in administrative law is ‘undertaken on a daily basis in the District Court.’</w:t>
      </w:r>
      <w:r w:rsidRPr="00962D54">
        <w:rPr>
          <w:rFonts w:cs="Arial"/>
          <w:vertAlign w:val="superscript"/>
        </w:rPr>
        <w:endnoteReference w:id="95"/>
      </w:r>
      <w:r w:rsidRPr="00962D54">
        <w:rPr>
          <w:rFonts w:cs="Arial"/>
        </w:rPr>
        <w:t xml:space="preserve">    </w:t>
      </w:r>
    </w:p>
    <w:p w:rsidR="007D11A4" w:rsidRPr="00962D54" w:rsidRDefault="007D11A4" w:rsidP="007D11A4">
      <w:pPr>
        <w:spacing w:before="100" w:beforeAutospacing="1" w:after="100" w:afterAutospacing="1"/>
        <w:rPr>
          <w:rFonts w:cs="Arial"/>
          <w:b/>
          <w:bCs/>
          <w:i/>
        </w:rPr>
      </w:pPr>
      <w:r w:rsidRPr="00962D54">
        <w:rPr>
          <w:rFonts w:cs="Arial"/>
          <w:b/>
          <w:bCs/>
          <w:i/>
        </w:rPr>
        <w:t xml:space="preserve">Separation of </w:t>
      </w:r>
      <w:r>
        <w:rPr>
          <w:rFonts w:cs="Arial"/>
          <w:b/>
          <w:bCs/>
          <w:i/>
        </w:rPr>
        <w:t>p</w:t>
      </w:r>
      <w:r w:rsidRPr="00962D54">
        <w:rPr>
          <w:rFonts w:cs="Arial"/>
          <w:b/>
          <w:bCs/>
          <w:i/>
        </w:rPr>
        <w:t>owers</w:t>
      </w:r>
    </w:p>
    <w:p w:rsidR="007D11A4" w:rsidRPr="00962D54" w:rsidRDefault="007D11A4" w:rsidP="007D11A4">
      <w:pPr>
        <w:spacing w:before="100" w:beforeAutospacing="1" w:after="100" w:afterAutospacing="1"/>
        <w:jc w:val="both"/>
        <w:rPr>
          <w:rFonts w:cs="Arial"/>
        </w:rPr>
      </w:pPr>
      <w:r>
        <w:rPr>
          <w:rFonts w:cs="Arial"/>
        </w:rPr>
        <w:t>W</w:t>
      </w:r>
      <w:r w:rsidRPr="00962D54">
        <w:rPr>
          <w:rFonts w:cs="Arial"/>
        </w:rPr>
        <w:t>hat exactly is so constitutional about the taboo on qualitative judicial review</w:t>
      </w:r>
      <w:r>
        <w:rPr>
          <w:rFonts w:cs="Arial"/>
        </w:rPr>
        <w:t>?</w:t>
      </w:r>
      <w:r w:rsidRPr="00962D54">
        <w:rPr>
          <w:rFonts w:cs="Arial"/>
        </w:rPr>
        <w:t xml:space="preserve"> </w:t>
      </w:r>
      <w:r>
        <w:rPr>
          <w:rFonts w:cs="Arial"/>
        </w:rPr>
        <w:t>T</w:t>
      </w:r>
      <w:r w:rsidRPr="00962D54">
        <w:rPr>
          <w:rFonts w:cs="Arial"/>
        </w:rPr>
        <w:t>he orthodox response is now that such a prohibition is mandated by the constitutional doctrine of separation of powers, underpinned by the rule of law</w:t>
      </w:r>
      <w:r>
        <w:rPr>
          <w:rFonts w:cs="Arial"/>
        </w:rPr>
        <w:t>?</w:t>
      </w:r>
      <w:r w:rsidRPr="00962D54">
        <w:rPr>
          <w:rFonts w:cs="Arial"/>
          <w:vertAlign w:val="superscript"/>
        </w:rPr>
        <w:endnoteReference w:id="96"/>
      </w:r>
      <w:r w:rsidRPr="00962D54">
        <w:rPr>
          <w:rFonts w:cs="Arial"/>
        </w:rPr>
        <w:t xml:space="preserve"> </w:t>
      </w:r>
      <w:r>
        <w:rPr>
          <w:rFonts w:cs="Arial"/>
        </w:rPr>
        <w:t xml:space="preserve"> </w:t>
      </w:r>
      <w:r w:rsidRPr="00962D54">
        <w:rPr>
          <w:rFonts w:cs="Arial"/>
        </w:rPr>
        <w:t>Anthony Mason has said that separation of powers has had ‘a stronger influence on Australian public and administrative law, especially judicial review, than it has on English, Canadian and New Zealand administrative law’,</w:t>
      </w:r>
      <w:r w:rsidRPr="00962D54">
        <w:rPr>
          <w:rFonts w:cs="Arial"/>
          <w:vertAlign w:val="superscript"/>
        </w:rPr>
        <w:endnoteReference w:id="97"/>
      </w:r>
      <w:r w:rsidRPr="00962D54">
        <w:rPr>
          <w:rFonts w:cs="Arial"/>
        </w:rPr>
        <w:t xml:space="preserve"> and he is not the only former Chief Justice to note the comparatively hard-edged nature of the Australian version of this doctrine.</w:t>
      </w:r>
      <w:r w:rsidRPr="00962D54">
        <w:rPr>
          <w:rFonts w:cs="Arial"/>
          <w:vertAlign w:val="superscript"/>
        </w:rPr>
        <w:endnoteReference w:id="98"/>
      </w:r>
      <w:r w:rsidRPr="00962D54">
        <w:rPr>
          <w:rFonts w:cs="Arial"/>
        </w:rPr>
        <w:t xml:space="preserve"> The doctrine is a two-way street: on </w:t>
      </w:r>
      <w:r>
        <w:rPr>
          <w:rFonts w:cs="Arial"/>
        </w:rPr>
        <w:t xml:space="preserve">the </w:t>
      </w:r>
      <w:r w:rsidRPr="00962D54">
        <w:rPr>
          <w:rFonts w:cs="Arial"/>
        </w:rPr>
        <w:t>one hand, the High Court has ‘enthusiastically enforced… the separation of judicial power’,</w:t>
      </w:r>
      <w:r w:rsidRPr="00962D54">
        <w:rPr>
          <w:rFonts w:cs="Arial"/>
          <w:vertAlign w:val="superscript"/>
        </w:rPr>
        <w:endnoteReference w:id="99"/>
      </w:r>
      <w:r w:rsidRPr="00962D54">
        <w:rPr>
          <w:rFonts w:cs="Arial"/>
        </w:rPr>
        <w:t xml:space="preserve"> striking down any legislation that purports to intrude over the dividing line. The trade-off is that the Court has had to show considerable restraint in enforcing anything that is not law, relinquishing policy and merits to Parliament and to the Executive.</w:t>
      </w:r>
      <w:r w:rsidRPr="00962D54">
        <w:rPr>
          <w:rFonts w:cs="Arial"/>
          <w:vertAlign w:val="superscript"/>
        </w:rPr>
        <w:endnoteReference w:id="100"/>
      </w:r>
      <w:r w:rsidRPr="00962D54">
        <w:rPr>
          <w:rFonts w:cs="Arial"/>
        </w:rPr>
        <w:t xml:space="preserve"> </w:t>
      </w:r>
    </w:p>
    <w:p w:rsidR="007D11A4" w:rsidRPr="00962D54" w:rsidRDefault="007D11A4" w:rsidP="007D11A4">
      <w:pPr>
        <w:spacing w:before="100" w:beforeAutospacing="1" w:after="100" w:afterAutospacing="1"/>
        <w:jc w:val="both"/>
        <w:rPr>
          <w:rFonts w:cs="Arial"/>
        </w:rPr>
      </w:pPr>
      <w:r w:rsidRPr="00962D54">
        <w:rPr>
          <w:rFonts w:cs="Arial"/>
        </w:rPr>
        <w:t xml:space="preserve">There are overlapping rationales for this. </w:t>
      </w:r>
      <w:proofErr w:type="spellStart"/>
      <w:r w:rsidRPr="00962D54">
        <w:rPr>
          <w:rFonts w:cs="Arial"/>
        </w:rPr>
        <w:t>Perram</w:t>
      </w:r>
      <w:proofErr w:type="spellEnd"/>
      <w:r w:rsidRPr="00962D54">
        <w:rPr>
          <w:rFonts w:cs="Arial"/>
        </w:rPr>
        <w:t xml:space="preserve"> argues that the implied purpose of the separation of powers is to prevent the court from usurping the role of decision-maker, with judicial review thereby reduced to a structure that simply ensures there is no excess of authority.</w:t>
      </w:r>
      <w:r w:rsidRPr="00962D54">
        <w:rPr>
          <w:rFonts w:cs="Arial"/>
          <w:vertAlign w:val="superscript"/>
        </w:rPr>
        <w:endnoteReference w:id="101"/>
      </w:r>
      <w:r w:rsidRPr="00962D54">
        <w:rPr>
          <w:rFonts w:cs="Arial"/>
        </w:rPr>
        <w:t xml:space="preserve"> Drummond, evidently on the other side of the two-way street, suggests that the doctrine serves to preserve judicial independence,</w:t>
      </w:r>
      <w:r w:rsidRPr="00962D54">
        <w:rPr>
          <w:rFonts w:cs="Arial"/>
          <w:vertAlign w:val="superscript"/>
        </w:rPr>
        <w:endnoteReference w:id="102"/>
      </w:r>
      <w:r w:rsidRPr="00962D54">
        <w:rPr>
          <w:rFonts w:cs="Arial"/>
        </w:rPr>
        <w:t xml:space="preserve"> with the consequences for judicial review being necessary collateral. Sackville sees the doctrine as a safeguard of effective democracy, as the High Court’s supremacy in the trifecta is well-established by virtue of its reserved right to have the final say on the constitutionality of legislation. Since this is an inherently counter-majoritarian power of the court,</w:t>
      </w:r>
      <w:r w:rsidRPr="00962D54">
        <w:rPr>
          <w:rFonts w:cs="Arial"/>
          <w:vertAlign w:val="superscript"/>
        </w:rPr>
        <w:endnoteReference w:id="103"/>
      </w:r>
      <w:r w:rsidRPr="00962D54">
        <w:rPr>
          <w:rFonts w:cs="Arial"/>
        </w:rPr>
        <w:t xml:space="preserve"> he continues, a carve-out of purely executive/legislative authority is needed to ensure any meaning in the distinction.</w:t>
      </w:r>
      <w:r w:rsidRPr="00962D54">
        <w:rPr>
          <w:rFonts w:cs="Arial"/>
          <w:vertAlign w:val="superscript"/>
        </w:rPr>
        <w:endnoteReference w:id="104"/>
      </w:r>
      <w:r w:rsidRPr="00962D54">
        <w:rPr>
          <w:rFonts w:cs="Arial"/>
        </w:rPr>
        <w:t xml:space="preserve"> Whatever the justification, it is clear that the doctrine has had an extremely pervasive influence on the state of our judicial review.</w:t>
      </w:r>
    </w:p>
    <w:p w:rsidR="007D11A4" w:rsidRPr="00962D54" w:rsidRDefault="007D11A4" w:rsidP="007D11A4">
      <w:pPr>
        <w:spacing w:before="100" w:beforeAutospacing="1" w:after="100" w:afterAutospacing="1"/>
        <w:rPr>
          <w:rFonts w:cs="Arial"/>
          <w:b/>
          <w:bCs/>
          <w:i/>
        </w:rPr>
      </w:pPr>
      <w:r w:rsidRPr="00962D54">
        <w:rPr>
          <w:rFonts w:cs="Arial"/>
          <w:b/>
          <w:bCs/>
          <w:i/>
        </w:rPr>
        <w:t xml:space="preserve">Specific </w:t>
      </w:r>
      <w:r>
        <w:rPr>
          <w:rFonts w:cs="Arial"/>
          <w:b/>
          <w:bCs/>
          <w:i/>
        </w:rPr>
        <w:t>g</w:t>
      </w:r>
      <w:r w:rsidRPr="00962D54">
        <w:rPr>
          <w:rFonts w:cs="Arial"/>
          <w:b/>
          <w:bCs/>
          <w:i/>
        </w:rPr>
        <w:t xml:space="preserve">rounds of </w:t>
      </w:r>
      <w:r>
        <w:rPr>
          <w:rFonts w:cs="Arial"/>
          <w:b/>
          <w:bCs/>
          <w:i/>
        </w:rPr>
        <w:t>r</w:t>
      </w:r>
      <w:r w:rsidRPr="00962D54">
        <w:rPr>
          <w:rFonts w:cs="Arial"/>
          <w:b/>
          <w:bCs/>
          <w:i/>
        </w:rPr>
        <w:t>eview</w:t>
      </w:r>
    </w:p>
    <w:p w:rsidR="007D11A4" w:rsidRPr="00962D54" w:rsidRDefault="007D11A4" w:rsidP="007D11A4">
      <w:pPr>
        <w:spacing w:before="100" w:beforeAutospacing="1" w:after="100" w:afterAutospacing="1"/>
        <w:jc w:val="both"/>
        <w:rPr>
          <w:rFonts w:cs="Arial"/>
        </w:rPr>
      </w:pPr>
      <w:r>
        <w:rPr>
          <w:rFonts w:cs="Arial"/>
        </w:rPr>
        <w:t>G</w:t>
      </w:r>
      <w:r w:rsidRPr="00962D54">
        <w:rPr>
          <w:rFonts w:cs="Arial"/>
        </w:rPr>
        <w:t xml:space="preserve">rounds of review that are explicitly substantive in content have </w:t>
      </w:r>
      <w:r>
        <w:rPr>
          <w:rFonts w:cs="Arial"/>
        </w:rPr>
        <w:t>received</w:t>
      </w:r>
      <w:r w:rsidRPr="00962D54">
        <w:rPr>
          <w:rFonts w:cs="Arial"/>
        </w:rPr>
        <w:t xml:space="preserve"> short shrift in recent decades in the High Court. A clear example is </w:t>
      </w:r>
      <w:proofErr w:type="spellStart"/>
      <w:r w:rsidRPr="00962D54">
        <w:rPr>
          <w:rFonts w:cs="Arial"/>
          <w:i/>
          <w:iCs/>
        </w:rPr>
        <w:t>Wednesbury</w:t>
      </w:r>
      <w:proofErr w:type="spellEnd"/>
      <w:r w:rsidRPr="00962D54">
        <w:rPr>
          <w:rFonts w:cs="Arial"/>
        </w:rPr>
        <w:t xml:space="preserve"> unreasonableness</w:t>
      </w:r>
      <w:r w:rsidRPr="00962D54">
        <w:rPr>
          <w:rFonts w:cs="Arial"/>
          <w:vertAlign w:val="superscript"/>
        </w:rPr>
        <w:endnoteReference w:id="105"/>
      </w:r>
      <w:r w:rsidRPr="00962D54">
        <w:rPr>
          <w:rFonts w:cs="Arial"/>
        </w:rPr>
        <w:t xml:space="preserve"> – which allows judges to overrule exceptionally unreasonable decisions – and although it has not been explicitly expunged from Australian law just yet,</w:t>
      </w:r>
      <w:r w:rsidRPr="00962D54">
        <w:rPr>
          <w:rStyle w:val="EndnoteReference"/>
          <w:rFonts w:cs="Arial"/>
        </w:rPr>
        <w:endnoteReference w:id="106"/>
      </w:r>
      <w:r w:rsidRPr="00962D54">
        <w:rPr>
          <w:rFonts w:cs="Arial"/>
        </w:rPr>
        <w:t xml:space="preserve"> many consider that the ground of review has been heading for the grave for a while, and is now simply awaiting a </w:t>
      </w:r>
      <w:proofErr w:type="spellStart"/>
      <w:r w:rsidRPr="00962D54">
        <w:rPr>
          <w:rFonts w:cs="Arial"/>
          <w:i/>
          <w:iCs/>
        </w:rPr>
        <w:t>Wednesburial</w:t>
      </w:r>
      <w:proofErr w:type="spellEnd"/>
      <w:r w:rsidRPr="00962D54">
        <w:rPr>
          <w:rFonts w:cs="Arial"/>
          <w:vertAlign w:val="superscript"/>
        </w:rPr>
        <w:endnoteReference w:id="107"/>
      </w:r>
      <w:r w:rsidRPr="00962D54">
        <w:rPr>
          <w:rFonts w:cs="Arial"/>
        </w:rPr>
        <w:t xml:space="preserve"> (that said, a recent case</w:t>
      </w:r>
      <w:r w:rsidRPr="00962D54">
        <w:rPr>
          <w:rStyle w:val="EndnoteReference"/>
          <w:rFonts w:cs="Arial"/>
        </w:rPr>
        <w:endnoteReference w:id="108"/>
      </w:r>
      <w:r w:rsidRPr="00962D54">
        <w:rPr>
          <w:rFonts w:cs="Arial"/>
        </w:rPr>
        <w:t xml:space="preserve"> upholding reasonableness as a ground of judicial review may have now reversed this tide). Proportionality review appears to be in a similar predicament,</w:t>
      </w:r>
      <w:r w:rsidRPr="00962D54">
        <w:rPr>
          <w:rFonts w:cs="Arial"/>
          <w:vertAlign w:val="superscript"/>
        </w:rPr>
        <w:endnoteReference w:id="109"/>
      </w:r>
      <w:r w:rsidRPr="00962D54">
        <w:rPr>
          <w:rFonts w:cs="Arial"/>
        </w:rPr>
        <w:t xml:space="preserve"> though unlike </w:t>
      </w:r>
      <w:proofErr w:type="spellStart"/>
      <w:r w:rsidRPr="00962D54">
        <w:rPr>
          <w:rFonts w:cs="Arial"/>
          <w:i/>
          <w:iCs/>
        </w:rPr>
        <w:t>Wednesbury</w:t>
      </w:r>
      <w:proofErr w:type="spellEnd"/>
      <w:r w:rsidRPr="00962D54">
        <w:rPr>
          <w:rFonts w:cs="Arial"/>
        </w:rPr>
        <w:t xml:space="preserve"> unreasonableness it has never been much endorsed in Australia,</w:t>
      </w:r>
      <w:r w:rsidRPr="00962D54">
        <w:rPr>
          <w:rFonts w:cs="Arial"/>
          <w:vertAlign w:val="superscript"/>
        </w:rPr>
        <w:endnoteReference w:id="110"/>
      </w:r>
      <w:r w:rsidRPr="00962D54">
        <w:rPr>
          <w:rFonts w:cs="Arial"/>
        </w:rPr>
        <w:t xml:space="preserve"> and today exists only in a limited sense, being confined to contexts where statutory Charters of Rights apply</w:t>
      </w:r>
      <w:r w:rsidRPr="00962D54">
        <w:rPr>
          <w:rFonts w:cs="Arial"/>
          <w:vertAlign w:val="superscript"/>
        </w:rPr>
        <w:endnoteReference w:id="111"/>
      </w:r>
      <w:r w:rsidRPr="00962D54">
        <w:rPr>
          <w:rFonts w:cs="Arial"/>
        </w:rPr>
        <w:t xml:space="preserve"> (such as Victoria and the ACT). A third merit-driven ground of review </w:t>
      </w:r>
      <w:r>
        <w:rPr>
          <w:rFonts w:cs="Arial"/>
        </w:rPr>
        <w:t>so far unused</w:t>
      </w:r>
      <w:r w:rsidRPr="00962D54">
        <w:rPr>
          <w:rFonts w:cs="Arial"/>
        </w:rPr>
        <w:t xml:space="preserve"> in Australian law is Michael Kirby’s proposal to allow judges to overturn decisions that manifest ‘serious administrative injustice’.</w:t>
      </w:r>
      <w:r w:rsidRPr="00962D54">
        <w:rPr>
          <w:rFonts w:cs="Arial"/>
          <w:vertAlign w:val="superscript"/>
        </w:rPr>
        <w:endnoteReference w:id="112"/>
      </w:r>
      <w:r w:rsidRPr="00962D54">
        <w:rPr>
          <w:rFonts w:cs="Arial"/>
        </w:rPr>
        <w:t xml:space="preserve"> Groves perceives a dissonance between, on </w:t>
      </w:r>
      <w:r>
        <w:rPr>
          <w:rFonts w:cs="Arial"/>
        </w:rPr>
        <w:t xml:space="preserve">the </w:t>
      </w:r>
      <w:r w:rsidRPr="00962D54">
        <w:rPr>
          <w:rFonts w:cs="Arial"/>
        </w:rPr>
        <w:t>one hand, Kirby’s reliance on section 75(v) in defending the need for this ground and, on the other, the apparent absence of legal principle informing its use, arguing that such a doctrine would simply be a ‘cloak for the imposition of subjective judicial impressions rather than legal doctrine’.</w:t>
      </w:r>
      <w:r w:rsidRPr="00962D54">
        <w:rPr>
          <w:rFonts w:cs="Arial"/>
          <w:vertAlign w:val="superscript"/>
        </w:rPr>
        <w:endnoteReference w:id="113"/>
      </w:r>
      <w:r w:rsidRPr="00962D54">
        <w:rPr>
          <w:rFonts w:cs="Arial"/>
        </w:rPr>
        <w:t xml:space="preserve"> This perhaps demands too much of a nascent doctrine, which could be developed along more principled lines over the course of its life, but Groves’ concerns about the qualitative aspect of this form of judicial review are certainly in keeping with the theme here.</w:t>
      </w:r>
    </w:p>
    <w:p w:rsidR="007D11A4" w:rsidRPr="00962D54" w:rsidRDefault="007D11A4" w:rsidP="007D11A4">
      <w:pPr>
        <w:spacing w:before="100" w:beforeAutospacing="1" w:after="100" w:afterAutospacing="1"/>
        <w:jc w:val="both"/>
        <w:rPr>
          <w:rFonts w:cs="Arial"/>
        </w:rPr>
      </w:pPr>
      <w:r w:rsidRPr="00962D54">
        <w:rPr>
          <w:rFonts w:cs="Arial"/>
        </w:rPr>
        <w:lastRenderedPageBreak/>
        <w:t xml:space="preserve">Things start to get a little more vexed where grounds of review straddle the substantive-procedural divide. A classic example is natural justice, to </w:t>
      </w:r>
      <w:proofErr w:type="gramStart"/>
      <w:r w:rsidRPr="00962D54">
        <w:rPr>
          <w:rFonts w:cs="Arial"/>
        </w:rPr>
        <w:t>which</w:t>
      </w:r>
      <w:r>
        <w:rPr>
          <w:rFonts w:cs="Arial"/>
        </w:rPr>
        <w:t xml:space="preserve"> </w:t>
      </w:r>
      <w:r w:rsidRPr="00962D54">
        <w:rPr>
          <w:rFonts w:cs="Arial"/>
        </w:rPr>
        <w:t xml:space="preserve"> </w:t>
      </w:r>
      <w:r w:rsidRPr="00962D54">
        <w:rPr>
          <w:rFonts w:cs="Arial"/>
          <w:i/>
          <w:iCs/>
        </w:rPr>
        <w:t>Lam</w:t>
      </w:r>
      <w:proofErr w:type="gramEnd"/>
      <w:r w:rsidRPr="00962D54">
        <w:rPr>
          <w:rFonts w:cs="Arial"/>
        </w:rPr>
        <w:t xml:space="preserve"> expressed a strong reluctance </w:t>
      </w:r>
      <w:r>
        <w:rPr>
          <w:rFonts w:cs="Arial"/>
        </w:rPr>
        <w:t>to</w:t>
      </w:r>
      <w:r w:rsidRPr="00962D54">
        <w:rPr>
          <w:rFonts w:cs="Arial"/>
        </w:rPr>
        <w:t xml:space="preserve"> ascrib</w:t>
      </w:r>
      <w:r>
        <w:rPr>
          <w:rFonts w:cs="Arial"/>
        </w:rPr>
        <w:t>e</w:t>
      </w:r>
      <w:r w:rsidRPr="00962D54">
        <w:rPr>
          <w:rFonts w:cs="Arial"/>
        </w:rPr>
        <w:t xml:space="preserve"> any substantive meaning</w:t>
      </w:r>
      <w:r>
        <w:rPr>
          <w:rFonts w:cs="Arial"/>
        </w:rPr>
        <w:t>. The consequence is</w:t>
      </w:r>
      <w:r w:rsidRPr="00962D54">
        <w:rPr>
          <w:rFonts w:cs="Arial"/>
          <w:vertAlign w:val="superscript"/>
        </w:rPr>
        <w:endnoteReference w:id="114"/>
      </w:r>
      <w:r w:rsidRPr="00962D54">
        <w:rPr>
          <w:rFonts w:cs="Arial"/>
        </w:rPr>
        <w:t xml:space="preserve"> that the doctrine was ‘effectively stillborn’</w:t>
      </w:r>
      <w:r w:rsidRPr="00962D54">
        <w:rPr>
          <w:rFonts w:cs="Arial"/>
          <w:vertAlign w:val="superscript"/>
        </w:rPr>
        <w:endnoteReference w:id="115"/>
      </w:r>
      <w:r w:rsidRPr="00962D54">
        <w:rPr>
          <w:rFonts w:cs="Arial"/>
        </w:rPr>
        <w:t xml:space="preserve"> and now exists purely in a procedural sense.</w:t>
      </w:r>
      <w:r w:rsidRPr="00962D54">
        <w:rPr>
          <w:rFonts w:cs="Arial"/>
          <w:vertAlign w:val="superscript"/>
        </w:rPr>
        <w:endnoteReference w:id="116"/>
      </w:r>
      <w:r w:rsidRPr="00962D54">
        <w:rPr>
          <w:rFonts w:cs="Arial"/>
        </w:rPr>
        <w:t xml:space="preserve"> Similarly</w:t>
      </w:r>
      <w:r>
        <w:rPr>
          <w:rFonts w:cs="Arial"/>
        </w:rPr>
        <w:t>,</w:t>
      </w:r>
      <w:r w:rsidRPr="00962D54">
        <w:rPr>
          <w:rFonts w:cs="Arial"/>
        </w:rPr>
        <w:t xml:space="preserve"> the principle of legality has been controversial but</w:t>
      </w:r>
      <w:r>
        <w:rPr>
          <w:rFonts w:cs="Arial"/>
        </w:rPr>
        <w:t>,</w:t>
      </w:r>
      <w:r w:rsidRPr="00962D54">
        <w:rPr>
          <w:rFonts w:cs="Arial"/>
        </w:rPr>
        <w:t xml:space="preserve"> again, only insofar as it requires judges to construct common law </w:t>
      </w:r>
      <w:r w:rsidRPr="00962D54">
        <w:rPr>
          <w:rFonts w:cs="Arial"/>
          <w:i/>
          <w:iCs/>
        </w:rPr>
        <w:t>values</w:t>
      </w:r>
      <w:r w:rsidRPr="00962D54">
        <w:rPr>
          <w:rFonts w:cs="Arial"/>
        </w:rPr>
        <w:t xml:space="preserve"> that must be adhered to in the exercise of ‘broadly expressed discretions’.</w:t>
      </w:r>
      <w:r w:rsidRPr="00962D54">
        <w:rPr>
          <w:rFonts w:cs="Arial"/>
          <w:vertAlign w:val="superscript"/>
        </w:rPr>
        <w:endnoteReference w:id="117"/>
      </w:r>
      <w:r w:rsidRPr="00962D54">
        <w:rPr>
          <w:rFonts w:cs="Arial"/>
        </w:rPr>
        <w:t xml:space="preserve"> To finish on a highly paradigmatic example,</w:t>
      </w:r>
      <w:r w:rsidRPr="00962D54">
        <w:rPr>
          <w:rStyle w:val="EndnoteReference"/>
          <w:rFonts w:cs="Arial"/>
        </w:rPr>
        <w:endnoteReference w:id="118"/>
      </w:r>
      <w:r w:rsidRPr="00962D54">
        <w:rPr>
          <w:rFonts w:cs="Arial"/>
        </w:rPr>
        <w:t xml:space="preserve"> the doctrine of legitimate expectations has traced clearly the contours of our judiciary’s aversion to enforc</w:t>
      </w:r>
      <w:r>
        <w:rPr>
          <w:rFonts w:cs="Arial"/>
        </w:rPr>
        <w:t>ing</w:t>
      </w:r>
      <w:r w:rsidRPr="00962D54">
        <w:rPr>
          <w:rFonts w:cs="Arial"/>
        </w:rPr>
        <w:t xml:space="preserve"> substantive requirements in administrative decision-making.</w:t>
      </w:r>
      <w:r w:rsidRPr="00962D54">
        <w:rPr>
          <w:rFonts w:cs="Arial"/>
          <w:vertAlign w:val="superscript"/>
        </w:rPr>
        <w:t xml:space="preserve"> </w:t>
      </w:r>
      <w:r w:rsidRPr="00962D54">
        <w:rPr>
          <w:rFonts w:cs="Arial"/>
          <w:vertAlign w:val="superscript"/>
        </w:rPr>
        <w:endnoteReference w:id="119"/>
      </w:r>
      <w:r w:rsidRPr="00962D54">
        <w:rPr>
          <w:rFonts w:cs="Arial"/>
        </w:rPr>
        <w:t xml:space="preserve"> Though it received wholesale acceptance in the United Kingdom in </w:t>
      </w:r>
      <w:r w:rsidRPr="00962D54">
        <w:rPr>
          <w:rFonts w:cs="Arial"/>
          <w:i/>
          <w:iCs/>
        </w:rPr>
        <w:t>Coughlan’s</w:t>
      </w:r>
      <w:r w:rsidRPr="00962D54">
        <w:rPr>
          <w:rFonts w:cs="Arial"/>
        </w:rPr>
        <w:t xml:space="preserve"> case,</w:t>
      </w:r>
      <w:r w:rsidRPr="00962D54">
        <w:rPr>
          <w:rFonts w:cs="Arial"/>
          <w:vertAlign w:val="superscript"/>
        </w:rPr>
        <w:endnoteReference w:id="120"/>
      </w:r>
      <w:r w:rsidRPr="00962D54">
        <w:rPr>
          <w:rFonts w:cs="Arial"/>
        </w:rPr>
        <w:t xml:space="preserve"> it was doused</w:t>
      </w:r>
      <w:r w:rsidR="00993A14">
        <w:rPr>
          <w:rFonts w:cs="Arial"/>
        </w:rPr>
        <w:t xml:space="preserve"> and</w:t>
      </w:r>
      <w:r w:rsidRPr="00962D54">
        <w:rPr>
          <w:rFonts w:cs="Arial"/>
        </w:rPr>
        <w:t xml:space="preserve"> </w:t>
      </w:r>
      <w:r>
        <w:rPr>
          <w:rFonts w:cs="Arial"/>
        </w:rPr>
        <w:t>rejected</w:t>
      </w:r>
      <w:r w:rsidRPr="00962D54">
        <w:rPr>
          <w:rFonts w:cs="Arial"/>
        </w:rPr>
        <w:t xml:space="preserve"> in </w:t>
      </w:r>
      <w:r w:rsidRPr="00962D54">
        <w:rPr>
          <w:rFonts w:cs="Arial"/>
          <w:i/>
          <w:iCs/>
        </w:rPr>
        <w:t>Lam</w:t>
      </w:r>
      <w:r w:rsidRPr="00962D54">
        <w:rPr>
          <w:rFonts w:cs="Arial"/>
        </w:rPr>
        <w:t xml:space="preserve"> on the ground that such an expectation must not be allowed to require any substantive result;</w:t>
      </w:r>
      <w:r w:rsidRPr="00962D54">
        <w:rPr>
          <w:rStyle w:val="EndnoteReference"/>
          <w:rFonts w:cs="Arial"/>
        </w:rPr>
        <w:endnoteReference w:id="121"/>
      </w:r>
      <w:r w:rsidRPr="00962D54">
        <w:rPr>
          <w:rFonts w:cs="Arial"/>
        </w:rPr>
        <w:t xml:space="preserve"> and again, the legality-focused counterpart of this doctrine, ‘procedural legitimate expectations’, was allowed to subsist. Justice Brennan has been a stern opponent of this doctrine, though it is interesting to note that his primary issue with legitimate expectations is its grounding in the subjective disappointment of an individual, rather than on its substantive content per se.</w:t>
      </w:r>
      <w:r w:rsidRPr="00962D54">
        <w:rPr>
          <w:rFonts w:cs="Arial"/>
          <w:vertAlign w:val="superscript"/>
        </w:rPr>
        <w:endnoteReference w:id="122"/>
      </w:r>
      <w:r w:rsidRPr="00962D54">
        <w:rPr>
          <w:rFonts w:cs="Arial"/>
        </w:rPr>
        <w:t xml:space="preserve"> Could the door still be open for the emergence of more carefully formulated substantive grounds of review that overcome the flaws in the above proposals? Alternatively, is there a way that we can challenge the merits/law dichotomy that limits these grounds of review? </w:t>
      </w:r>
    </w:p>
    <w:p w:rsidR="007D11A4" w:rsidRDefault="007D11A4" w:rsidP="007D11A4">
      <w:pPr>
        <w:spacing w:before="100" w:beforeAutospacing="1" w:after="100" w:afterAutospacing="1"/>
        <w:rPr>
          <w:rFonts w:cs="Arial"/>
          <w:b/>
          <w:bCs/>
        </w:rPr>
      </w:pPr>
      <w:r>
        <w:rPr>
          <w:rFonts w:cs="Arial"/>
          <w:b/>
          <w:bCs/>
        </w:rPr>
        <w:t>III   Possible solutions</w:t>
      </w:r>
      <w:r w:rsidRPr="00962D54">
        <w:rPr>
          <w:rFonts w:cs="Arial"/>
          <w:b/>
          <w:bCs/>
        </w:rPr>
        <w:t xml:space="preserve"> </w:t>
      </w:r>
    </w:p>
    <w:p w:rsidR="007D11A4" w:rsidRPr="00962D54" w:rsidRDefault="007D11A4" w:rsidP="007D11A4">
      <w:pPr>
        <w:spacing w:before="100" w:beforeAutospacing="1" w:after="100" w:afterAutospacing="1"/>
        <w:rPr>
          <w:rFonts w:cs="Arial"/>
          <w:b/>
          <w:bCs/>
          <w:i/>
        </w:rPr>
      </w:pPr>
      <w:r w:rsidRPr="00962D54">
        <w:rPr>
          <w:rFonts w:cs="Arial"/>
          <w:b/>
          <w:bCs/>
          <w:i/>
        </w:rPr>
        <w:t xml:space="preserve">Legislative </w:t>
      </w:r>
      <w:r>
        <w:rPr>
          <w:rFonts w:cs="Arial"/>
          <w:b/>
          <w:bCs/>
          <w:i/>
        </w:rPr>
        <w:t>p</w:t>
      </w:r>
      <w:r w:rsidRPr="00962D54">
        <w:rPr>
          <w:rFonts w:cs="Arial"/>
          <w:b/>
          <w:bCs/>
          <w:i/>
        </w:rPr>
        <w:t>ossibilities</w:t>
      </w:r>
    </w:p>
    <w:p w:rsidR="007D11A4" w:rsidRPr="00962D54" w:rsidRDefault="007D11A4" w:rsidP="007D11A4">
      <w:pPr>
        <w:spacing w:before="100" w:beforeAutospacing="1" w:after="100" w:afterAutospacing="1"/>
        <w:jc w:val="both"/>
        <w:rPr>
          <w:rFonts w:cs="Arial"/>
        </w:rPr>
      </w:pPr>
      <w:r w:rsidRPr="00962D54">
        <w:rPr>
          <w:rFonts w:cs="Arial"/>
        </w:rPr>
        <w:t xml:space="preserve">Though not the focus of this paper, </w:t>
      </w:r>
      <w:r>
        <w:rPr>
          <w:rFonts w:cs="Arial"/>
        </w:rPr>
        <w:t>I</w:t>
      </w:r>
      <w:r w:rsidRPr="00962D54">
        <w:rPr>
          <w:rFonts w:cs="Arial"/>
        </w:rPr>
        <w:t xml:space="preserve"> acknowledge that there are potential legislative solutions to the issues</w:t>
      </w:r>
      <w:r>
        <w:rPr>
          <w:rFonts w:cs="Arial"/>
        </w:rPr>
        <w:t xml:space="preserve"> discussed</w:t>
      </w:r>
      <w:r w:rsidRPr="00962D54">
        <w:rPr>
          <w:rFonts w:cs="Arial"/>
        </w:rPr>
        <w:t xml:space="preserve"> above. </w:t>
      </w:r>
      <w:proofErr w:type="spellStart"/>
      <w:r w:rsidRPr="00962D54">
        <w:rPr>
          <w:rFonts w:cs="Arial"/>
        </w:rPr>
        <w:t>Gageler</w:t>
      </w:r>
      <w:proofErr w:type="spellEnd"/>
      <w:r w:rsidRPr="00962D54">
        <w:rPr>
          <w:rFonts w:cs="Arial"/>
        </w:rPr>
        <w:t xml:space="preserve"> suggests that substantive fairness could be reintroduced into our judicial review through the enactment of ‘some code or charter of administrative rights and responsibilities’ or some new Part of the </w:t>
      </w:r>
      <w:r w:rsidRPr="00962D54">
        <w:rPr>
          <w:rFonts w:cs="Arial"/>
          <w:i/>
          <w:iCs/>
        </w:rPr>
        <w:t>Acts Interpretation Act 1901</w:t>
      </w:r>
      <w:r w:rsidRPr="00962D54">
        <w:rPr>
          <w:rFonts w:cs="Arial"/>
        </w:rPr>
        <w:t xml:space="preserve"> (</w:t>
      </w:r>
      <w:proofErr w:type="spellStart"/>
      <w:r w:rsidRPr="00962D54">
        <w:rPr>
          <w:rFonts w:cs="Arial"/>
        </w:rPr>
        <w:t>Cth</w:t>
      </w:r>
      <w:proofErr w:type="spellEnd"/>
      <w:r w:rsidRPr="00962D54">
        <w:rPr>
          <w:rFonts w:cs="Arial"/>
        </w:rPr>
        <w:t>) that necessitates substantive minimum requirements in administrative decision-making.</w:t>
      </w:r>
      <w:r w:rsidRPr="00962D54">
        <w:rPr>
          <w:rFonts w:cs="Arial"/>
          <w:vertAlign w:val="superscript"/>
        </w:rPr>
        <w:endnoteReference w:id="123"/>
      </w:r>
      <w:r w:rsidRPr="00962D54">
        <w:rPr>
          <w:rFonts w:cs="Arial"/>
        </w:rPr>
        <w:t xml:space="preserve"> There is some force to these suggestions, especially in that they would operate neatly within the present framework</w:t>
      </w:r>
      <w:r>
        <w:rPr>
          <w:rFonts w:cs="Arial"/>
        </w:rPr>
        <w:t>,</w:t>
      </w:r>
      <w:r w:rsidRPr="00962D54">
        <w:rPr>
          <w:rFonts w:cs="Arial"/>
        </w:rPr>
        <w:t xml:space="preserve"> </w:t>
      </w:r>
      <w:r>
        <w:rPr>
          <w:rFonts w:cs="Arial"/>
        </w:rPr>
        <w:t xml:space="preserve">in </w:t>
      </w:r>
      <w:r w:rsidRPr="00962D54">
        <w:rPr>
          <w:rFonts w:cs="Arial"/>
        </w:rPr>
        <w:t>wh</w:t>
      </w:r>
      <w:r>
        <w:rPr>
          <w:rFonts w:cs="Arial"/>
        </w:rPr>
        <w:t>ich</w:t>
      </w:r>
      <w:r w:rsidRPr="00962D54">
        <w:rPr>
          <w:rFonts w:cs="Arial"/>
        </w:rPr>
        <w:t xml:space="preserve"> judicial review is guided solely by questions of legality, as indeed it is hard to dispute the legal correctness of enforcing the requirements of enacted legislation. Yet the usual hindrances to law reform apply: Parliament would need to muster support for what would be a highly technical piece of legislation of almost no interest to voters. Further, Sackville’s comments about judicial supremacy also apply,</w:t>
      </w:r>
      <w:r w:rsidRPr="00962D54">
        <w:rPr>
          <w:rStyle w:val="EndnoteReference"/>
          <w:rFonts w:cs="Arial"/>
        </w:rPr>
        <w:endnoteReference w:id="124"/>
      </w:r>
      <w:r w:rsidRPr="00962D54">
        <w:rPr>
          <w:rFonts w:cs="Arial"/>
        </w:rPr>
        <w:t xml:space="preserve"> as the legislation could be vulnerable to invalidation on grounds of, for instance, section 75(v) inconsistency. Yet it is hard to believe that the High Court’s commitment to legalism so greatly trumps its deference to Parliament that it would not at least require very compelling reasons to deem such legislation unconstitutional. </w:t>
      </w:r>
    </w:p>
    <w:p w:rsidR="007D11A4" w:rsidRPr="00962D54" w:rsidRDefault="007D11A4" w:rsidP="007D11A4">
      <w:pPr>
        <w:spacing w:before="100" w:beforeAutospacing="1" w:after="100" w:afterAutospacing="1"/>
        <w:rPr>
          <w:rFonts w:cs="Arial"/>
          <w:b/>
          <w:bCs/>
          <w:i/>
        </w:rPr>
      </w:pPr>
      <w:r w:rsidRPr="00962D54">
        <w:rPr>
          <w:rFonts w:cs="Arial"/>
          <w:b/>
          <w:bCs/>
          <w:i/>
        </w:rPr>
        <w:t xml:space="preserve">Rethinking </w:t>
      </w:r>
      <w:r>
        <w:rPr>
          <w:rFonts w:cs="Arial"/>
          <w:b/>
          <w:bCs/>
          <w:i/>
        </w:rPr>
        <w:t>m</w:t>
      </w:r>
      <w:r w:rsidRPr="00962D54">
        <w:rPr>
          <w:rFonts w:cs="Arial"/>
          <w:b/>
          <w:bCs/>
          <w:i/>
        </w:rPr>
        <w:t xml:space="preserve">odes of </w:t>
      </w:r>
      <w:r>
        <w:rPr>
          <w:rFonts w:cs="Arial"/>
          <w:b/>
          <w:bCs/>
          <w:i/>
        </w:rPr>
        <w:t>c</w:t>
      </w:r>
      <w:r w:rsidRPr="00962D54">
        <w:rPr>
          <w:rFonts w:cs="Arial"/>
          <w:b/>
          <w:bCs/>
          <w:i/>
        </w:rPr>
        <w:t xml:space="preserve">onstitutional </w:t>
      </w:r>
      <w:r>
        <w:rPr>
          <w:rFonts w:cs="Arial"/>
          <w:b/>
          <w:bCs/>
          <w:i/>
        </w:rPr>
        <w:t>i</w:t>
      </w:r>
      <w:r w:rsidRPr="00962D54">
        <w:rPr>
          <w:rFonts w:cs="Arial"/>
          <w:b/>
          <w:bCs/>
          <w:i/>
        </w:rPr>
        <w:t>nterpretation</w:t>
      </w:r>
    </w:p>
    <w:p w:rsidR="007D11A4" w:rsidRPr="00962D54" w:rsidRDefault="007D11A4" w:rsidP="007D11A4">
      <w:pPr>
        <w:spacing w:before="100" w:beforeAutospacing="1" w:after="100" w:afterAutospacing="1"/>
        <w:jc w:val="both"/>
        <w:rPr>
          <w:rFonts w:cs="Arial"/>
        </w:rPr>
      </w:pPr>
      <w:r w:rsidRPr="00962D54">
        <w:rPr>
          <w:rFonts w:cs="Arial"/>
        </w:rPr>
        <w:t>The main argument of this paper is that reform could just as conceivably come from the judiciary itself, and that this may even be preferable, as it would fix the problem at its source</w:t>
      </w:r>
      <w:r>
        <w:rPr>
          <w:rFonts w:cs="Arial"/>
        </w:rPr>
        <w:t>.</w:t>
      </w:r>
      <w:r w:rsidRPr="00962D54">
        <w:rPr>
          <w:rFonts w:cs="Arial"/>
        </w:rPr>
        <w:t xml:space="preserve"> I suggest that many of the problems inherent in the </w:t>
      </w:r>
      <w:proofErr w:type="spellStart"/>
      <w:r w:rsidRPr="00962D54">
        <w:rPr>
          <w:rFonts w:cs="Arial"/>
        </w:rPr>
        <w:t>constitutionalisation</w:t>
      </w:r>
      <w:proofErr w:type="spellEnd"/>
      <w:r w:rsidRPr="00962D54">
        <w:rPr>
          <w:rFonts w:cs="Arial"/>
        </w:rPr>
        <w:t xml:space="preserve"> of administrative law can be overcome by a rethinking of the modes of constitutional interpretation available to judges. </w:t>
      </w:r>
    </w:p>
    <w:p w:rsidR="007D11A4" w:rsidRPr="00962D54" w:rsidRDefault="007D11A4" w:rsidP="007D11A4">
      <w:pPr>
        <w:spacing w:before="100" w:beforeAutospacing="1" w:after="100" w:afterAutospacing="1"/>
        <w:rPr>
          <w:rFonts w:cs="Arial"/>
          <w:bCs/>
          <w:i/>
          <w:szCs w:val="22"/>
        </w:rPr>
      </w:pPr>
      <w:r w:rsidRPr="00962D54">
        <w:rPr>
          <w:rFonts w:cs="Arial"/>
          <w:bCs/>
          <w:i/>
          <w:iCs/>
        </w:rPr>
        <w:t>Available modes of interpretation</w:t>
      </w:r>
    </w:p>
    <w:p w:rsidR="007D11A4" w:rsidRPr="00962D54" w:rsidRDefault="007D11A4" w:rsidP="007D11A4">
      <w:pPr>
        <w:spacing w:before="100" w:beforeAutospacing="1" w:after="100" w:afterAutospacing="1"/>
        <w:jc w:val="both"/>
        <w:rPr>
          <w:rFonts w:cs="Arial"/>
        </w:rPr>
      </w:pPr>
      <w:r w:rsidRPr="00962D54">
        <w:rPr>
          <w:rFonts w:cs="Arial"/>
        </w:rPr>
        <w:t>It is remarkably uncontroversial that the current High Court approach to legal reasoning is a formalistic one.</w:t>
      </w:r>
      <w:r w:rsidRPr="00962D54">
        <w:rPr>
          <w:rStyle w:val="EndnoteReference"/>
          <w:rFonts w:cs="Arial"/>
        </w:rPr>
        <w:endnoteReference w:id="125"/>
      </w:r>
      <w:r w:rsidRPr="00962D54">
        <w:rPr>
          <w:rFonts w:cs="Arial"/>
        </w:rPr>
        <w:t xml:space="preserve"> Goldsworthy summarises it</w:t>
      </w:r>
      <w:r>
        <w:rPr>
          <w:rFonts w:cs="Arial"/>
        </w:rPr>
        <w:t xml:space="preserve"> as</w:t>
      </w:r>
      <w:r w:rsidRPr="00962D54">
        <w:rPr>
          <w:rFonts w:cs="Arial"/>
        </w:rPr>
        <w:t xml:space="preserve"> a ‘devotion to legalism’;</w:t>
      </w:r>
      <w:r w:rsidRPr="00962D54">
        <w:rPr>
          <w:rStyle w:val="EndnoteReference"/>
          <w:rFonts w:cs="Arial"/>
        </w:rPr>
        <w:endnoteReference w:id="126"/>
      </w:r>
      <w:r w:rsidRPr="00962D54">
        <w:rPr>
          <w:rFonts w:cs="Arial"/>
        </w:rPr>
        <w:t xml:space="preserve"> Taggart attributes this to the influence of Sir Owen Dixon,</w:t>
      </w:r>
      <w:r w:rsidRPr="00962D54">
        <w:rPr>
          <w:rFonts w:cs="Arial"/>
          <w:vertAlign w:val="superscript"/>
        </w:rPr>
        <w:endnoteReference w:id="127"/>
      </w:r>
      <w:r w:rsidRPr="00962D54">
        <w:rPr>
          <w:rFonts w:cs="Arial"/>
        </w:rPr>
        <w:t xml:space="preserve"> whose ‘strict and complete legalism’</w:t>
      </w:r>
      <w:r w:rsidRPr="00962D54">
        <w:rPr>
          <w:rFonts w:cs="Arial"/>
          <w:vertAlign w:val="superscript"/>
        </w:rPr>
        <w:endnoteReference w:id="128"/>
      </w:r>
      <w:r w:rsidRPr="00962D54">
        <w:rPr>
          <w:rFonts w:cs="Arial"/>
        </w:rPr>
        <w:t xml:space="preserve"> is ‘still much admired and emulated in Australia’;</w:t>
      </w:r>
      <w:r w:rsidRPr="00962D54">
        <w:rPr>
          <w:rFonts w:cs="Arial"/>
          <w:vertAlign w:val="superscript"/>
        </w:rPr>
        <w:endnoteReference w:id="129"/>
      </w:r>
      <w:r w:rsidRPr="00962D54">
        <w:rPr>
          <w:rFonts w:cs="Arial"/>
        </w:rPr>
        <w:t xml:space="preserve"> Pierce concurs that the status quo is a </w:t>
      </w:r>
      <w:r w:rsidRPr="00962D54">
        <w:rPr>
          <w:rFonts w:cs="Arial"/>
        </w:rPr>
        <w:lastRenderedPageBreak/>
        <w:t>reversion from the legal realism of the Mason Court to the formalism of the Dixon Court;</w:t>
      </w:r>
      <w:r w:rsidRPr="00962D54">
        <w:rPr>
          <w:rFonts w:cs="Arial"/>
          <w:vertAlign w:val="superscript"/>
        </w:rPr>
        <w:endnoteReference w:id="130"/>
      </w:r>
      <w:r w:rsidRPr="00962D54">
        <w:rPr>
          <w:rFonts w:cs="Arial"/>
        </w:rPr>
        <w:t xml:space="preserve"> Kirby agrees</w:t>
      </w:r>
      <w:r w:rsidRPr="00962D54">
        <w:rPr>
          <w:rStyle w:val="EndnoteReference"/>
          <w:rFonts w:cs="Arial"/>
        </w:rPr>
        <w:endnoteReference w:id="131"/>
      </w:r>
      <w:r w:rsidRPr="00962D54">
        <w:rPr>
          <w:rFonts w:cs="Arial"/>
        </w:rPr>
        <w:t xml:space="preserve"> that the Court’s common law approach has stagnated to the point of being so </w:t>
      </w:r>
      <w:proofErr w:type="spellStart"/>
      <w:r w:rsidRPr="00962D54">
        <w:rPr>
          <w:rFonts w:cs="Arial"/>
        </w:rPr>
        <w:t>particularist</w:t>
      </w:r>
      <w:proofErr w:type="spellEnd"/>
      <w:r w:rsidRPr="00962D54">
        <w:rPr>
          <w:rFonts w:cs="Arial"/>
        </w:rPr>
        <w:t xml:space="preserve"> as to lack any underlying principles;</w:t>
      </w:r>
      <w:r w:rsidRPr="00962D54">
        <w:rPr>
          <w:rFonts w:cs="Arial"/>
          <w:vertAlign w:val="superscript"/>
        </w:rPr>
        <w:endnoteReference w:id="132"/>
      </w:r>
      <w:r w:rsidRPr="00962D54">
        <w:rPr>
          <w:rFonts w:cs="Arial"/>
        </w:rPr>
        <w:t xml:space="preserve"> </w:t>
      </w:r>
      <w:proofErr w:type="spellStart"/>
      <w:r w:rsidRPr="00962D54">
        <w:rPr>
          <w:rFonts w:cs="Arial"/>
        </w:rPr>
        <w:t>Varuhas</w:t>
      </w:r>
      <w:proofErr w:type="spellEnd"/>
      <w:r w:rsidRPr="00962D54">
        <w:rPr>
          <w:rFonts w:cs="Arial"/>
        </w:rPr>
        <w:t xml:space="preserve"> conceives the issue as a preference for ‘bottom-up’ reasoning (which centres on rules and prioritises legal certainty) over ‘top-down’ reasoning (which emphasises guiding principles and broader justice considerations),</w:t>
      </w:r>
      <w:r w:rsidRPr="00962D54">
        <w:rPr>
          <w:rFonts w:cs="Arial"/>
          <w:vertAlign w:val="superscript"/>
        </w:rPr>
        <w:endnoteReference w:id="133"/>
      </w:r>
      <w:r w:rsidRPr="00962D54">
        <w:rPr>
          <w:rFonts w:cs="Arial"/>
        </w:rPr>
        <w:t xml:space="preserve"> and both Keith Mason</w:t>
      </w:r>
      <w:r w:rsidRPr="00962D54">
        <w:rPr>
          <w:rFonts w:cs="Arial"/>
          <w:vertAlign w:val="superscript"/>
        </w:rPr>
        <w:endnoteReference w:id="134"/>
      </w:r>
      <w:r w:rsidRPr="00962D54">
        <w:rPr>
          <w:rFonts w:cs="Arial"/>
        </w:rPr>
        <w:t xml:space="preserve"> and Matthew Groves</w:t>
      </w:r>
      <w:r w:rsidRPr="00962D54">
        <w:rPr>
          <w:rFonts w:cs="Arial"/>
          <w:vertAlign w:val="superscript"/>
        </w:rPr>
        <w:endnoteReference w:id="135"/>
      </w:r>
      <w:r w:rsidRPr="00962D54">
        <w:rPr>
          <w:rFonts w:cs="Arial"/>
        </w:rPr>
        <w:t xml:space="preserve"> use this terminology in reaching the same conclusions</w:t>
      </w:r>
      <w:r>
        <w:rPr>
          <w:rFonts w:cs="Arial"/>
        </w:rPr>
        <w:t>.</w:t>
      </w:r>
      <w:r w:rsidRPr="00962D54">
        <w:rPr>
          <w:rFonts w:cs="Arial"/>
        </w:rPr>
        <w:t xml:space="preserve"> </w:t>
      </w:r>
      <w:r>
        <w:rPr>
          <w:rFonts w:cs="Arial"/>
        </w:rPr>
        <w:t>L</w:t>
      </w:r>
      <w:r w:rsidRPr="00962D54">
        <w:rPr>
          <w:rFonts w:cs="Arial"/>
        </w:rPr>
        <w:t xml:space="preserve">ast but not least, </w:t>
      </w:r>
      <w:proofErr w:type="spellStart"/>
      <w:r w:rsidRPr="00962D54">
        <w:rPr>
          <w:rFonts w:cs="Arial"/>
        </w:rPr>
        <w:t>Gageler</w:t>
      </w:r>
      <w:proofErr w:type="spellEnd"/>
      <w:r w:rsidRPr="00962D54">
        <w:rPr>
          <w:rFonts w:cs="Arial"/>
        </w:rPr>
        <w:t xml:space="preserve"> characterises the trend as a return to pre-1970s </w:t>
      </w:r>
      <w:proofErr w:type="spellStart"/>
      <w:r w:rsidRPr="00962D54">
        <w:rPr>
          <w:rFonts w:cs="Arial"/>
        </w:rPr>
        <w:t>incrementalism</w:t>
      </w:r>
      <w:proofErr w:type="spellEnd"/>
      <w:r w:rsidRPr="00962D54">
        <w:rPr>
          <w:rFonts w:cs="Arial"/>
        </w:rPr>
        <w:t>,</w:t>
      </w:r>
      <w:r w:rsidRPr="00962D54">
        <w:rPr>
          <w:rFonts w:cs="Arial"/>
          <w:vertAlign w:val="superscript"/>
        </w:rPr>
        <w:t xml:space="preserve"> </w:t>
      </w:r>
      <w:r w:rsidRPr="00962D54">
        <w:rPr>
          <w:rFonts w:cs="Arial"/>
          <w:vertAlign w:val="superscript"/>
        </w:rPr>
        <w:endnoteReference w:id="136"/>
      </w:r>
      <w:r w:rsidRPr="00962D54">
        <w:rPr>
          <w:rFonts w:cs="Arial"/>
        </w:rPr>
        <w:t xml:space="preserve"> fuelled by the ascendancy of the ‘ultra vires’ school of thought over the ‘natural law’ school of thought.</w:t>
      </w:r>
      <w:r w:rsidRPr="00962D54">
        <w:rPr>
          <w:rStyle w:val="EndnoteReference"/>
          <w:rFonts w:cs="Arial"/>
        </w:rPr>
        <w:endnoteReference w:id="137"/>
      </w:r>
      <w:r w:rsidRPr="00962D54">
        <w:rPr>
          <w:rFonts w:cs="Arial"/>
        </w:rPr>
        <w:t xml:space="preserve"> The consensus is overwhelmingly clear that the current High Court approach to legal reasoning is a formalistic one. </w:t>
      </w:r>
    </w:p>
    <w:p w:rsidR="007D11A4" w:rsidRPr="00962D54" w:rsidRDefault="007D11A4" w:rsidP="007D11A4">
      <w:pPr>
        <w:spacing w:before="100" w:beforeAutospacing="1" w:after="100" w:afterAutospacing="1"/>
        <w:jc w:val="both"/>
        <w:rPr>
          <w:rFonts w:cs="Arial"/>
        </w:rPr>
      </w:pPr>
      <w:r w:rsidRPr="00962D54">
        <w:rPr>
          <w:rFonts w:cs="Arial"/>
        </w:rPr>
        <w:t>In the context of constitutional interpretation, however, there is more than one approach that can be taken.</w:t>
      </w:r>
      <w:r w:rsidRPr="00962D54">
        <w:rPr>
          <w:rFonts w:cs="Arial"/>
          <w:vertAlign w:val="superscript"/>
        </w:rPr>
        <w:endnoteReference w:id="138"/>
      </w:r>
      <w:r w:rsidRPr="00962D54">
        <w:rPr>
          <w:rFonts w:cs="Arial"/>
        </w:rPr>
        <w:t xml:space="preserve"> I </w:t>
      </w:r>
      <w:r>
        <w:rPr>
          <w:rFonts w:cs="Arial"/>
        </w:rPr>
        <w:t>do</w:t>
      </w:r>
      <w:r w:rsidRPr="00962D54">
        <w:rPr>
          <w:rFonts w:cs="Arial"/>
        </w:rPr>
        <w:t xml:space="preserve"> not advocat</w:t>
      </w:r>
      <w:r>
        <w:rPr>
          <w:rFonts w:cs="Arial"/>
        </w:rPr>
        <w:t>e</w:t>
      </w:r>
      <w:r w:rsidRPr="00962D54">
        <w:rPr>
          <w:rFonts w:cs="Arial"/>
        </w:rPr>
        <w:t xml:space="preserve"> that any one mode is superior to </w:t>
      </w:r>
      <w:r>
        <w:rPr>
          <w:rFonts w:cs="Arial"/>
        </w:rPr>
        <w:t>an</w:t>
      </w:r>
      <w:r w:rsidRPr="00962D54">
        <w:rPr>
          <w:rFonts w:cs="Arial"/>
        </w:rPr>
        <w:t xml:space="preserve">other, nor </w:t>
      </w:r>
      <w:r>
        <w:rPr>
          <w:rFonts w:cs="Arial"/>
        </w:rPr>
        <w:t>do</w:t>
      </w:r>
      <w:r w:rsidRPr="00962D54">
        <w:rPr>
          <w:rFonts w:cs="Arial"/>
        </w:rPr>
        <w:t xml:space="preserve"> I seek to justify any mode on theoretical grounds.</w:t>
      </w:r>
      <w:r w:rsidRPr="00962D54">
        <w:rPr>
          <w:rFonts w:cs="Arial"/>
          <w:vertAlign w:val="superscript"/>
        </w:rPr>
        <w:endnoteReference w:id="139"/>
      </w:r>
      <w:r w:rsidRPr="00962D54">
        <w:rPr>
          <w:rFonts w:cs="Arial"/>
        </w:rPr>
        <w:t xml:space="preserve"> </w:t>
      </w:r>
      <w:proofErr w:type="gramStart"/>
      <w:r w:rsidRPr="00962D54">
        <w:rPr>
          <w:rFonts w:cs="Arial"/>
        </w:rPr>
        <w:t>I  simply</w:t>
      </w:r>
      <w:proofErr w:type="gramEnd"/>
      <w:r w:rsidRPr="00962D54">
        <w:rPr>
          <w:rFonts w:cs="Arial"/>
        </w:rPr>
        <w:t xml:space="preserve"> argu</w:t>
      </w:r>
      <w:r>
        <w:rPr>
          <w:rFonts w:cs="Arial"/>
        </w:rPr>
        <w:t>e</w:t>
      </w:r>
      <w:r w:rsidRPr="00962D54">
        <w:rPr>
          <w:rFonts w:cs="Arial"/>
        </w:rPr>
        <w:t xml:space="preserve"> that judges should be cognisant of the available options, of which there are between four and eight, depending on who</w:t>
      </w:r>
      <w:r>
        <w:rPr>
          <w:rFonts w:cs="Arial"/>
        </w:rPr>
        <w:t>m</w:t>
      </w:r>
      <w:r w:rsidRPr="00962D54">
        <w:rPr>
          <w:rFonts w:cs="Arial"/>
        </w:rPr>
        <w:t xml:space="preserve"> you ask. For present purposes, they can be categorised broadly into: textual argument, historical (or </w:t>
      </w:r>
      <w:proofErr w:type="spellStart"/>
      <w:r w:rsidRPr="00962D54">
        <w:rPr>
          <w:rFonts w:cs="Arial"/>
        </w:rPr>
        <w:t>originalist</w:t>
      </w:r>
      <w:proofErr w:type="spellEnd"/>
      <w:r w:rsidRPr="00962D54">
        <w:rPr>
          <w:rFonts w:cs="Arial"/>
        </w:rPr>
        <w:t>) argument, implications from constitutional structure, and arguments based on precedent.</w:t>
      </w:r>
      <w:r w:rsidRPr="00962D54">
        <w:rPr>
          <w:rFonts w:cs="Arial"/>
          <w:vertAlign w:val="superscript"/>
        </w:rPr>
        <w:endnoteReference w:id="140"/>
      </w:r>
      <w:r w:rsidRPr="00962D54">
        <w:rPr>
          <w:rFonts w:cs="Arial"/>
        </w:rPr>
        <w:t xml:space="preserve"> </w:t>
      </w:r>
    </w:p>
    <w:p w:rsidR="007D11A4" w:rsidRPr="00962D54" w:rsidRDefault="007D11A4" w:rsidP="007D11A4">
      <w:pPr>
        <w:spacing w:before="100" w:beforeAutospacing="1" w:after="100" w:afterAutospacing="1"/>
        <w:jc w:val="both"/>
        <w:rPr>
          <w:rFonts w:cs="Arial"/>
        </w:rPr>
      </w:pPr>
      <w:r w:rsidRPr="00962D54">
        <w:rPr>
          <w:rFonts w:cs="Arial"/>
        </w:rPr>
        <w:t>Textual arguments focus on the words of the text and attribute to them the meaning they naturally bear.</w:t>
      </w:r>
      <w:r w:rsidRPr="00962D54">
        <w:rPr>
          <w:rFonts w:cs="Arial"/>
          <w:vertAlign w:val="superscript"/>
        </w:rPr>
        <w:endnoteReference w:id="141"/>
      </w:r>
      <w:r w:rsidRPr="00962D54">
        <w:rPr>
          <w:rFonts w:cs="Arial"/>
        </w:rPr>
        <w:t xml:space="preserve"> The subjective intentions of the framers are irrelevant here,</w:t>
      </w:r>
      <w:r w:rsidRPr="00962D54">
        <w:rPr>
          <w:rFonts w:cs="Arial"/>
          <w:vertAlign w:val="superscript"/>
        </w:rPr>
        <w:endnoteReference w:id="142"/>
      </w:r>
      <w:r w:rsidRPr="00962D54">
        <w:rPr>
          <w:rFonts w:cs="Arial"/>
        </w:rPr>
        <w:t xml:space="preserve"> as contextual evidence is relevant only insofar as it helps to ascertain ‘the original public meaning’</w:t>
      </w:r>
      <w:r w:rsidRPr="00962D54">
        <w:rPr>
          <w:rFonts w:cs="Arial"/>
          <w:vertAlign w:val="superscript"/>
        </w:rPr>
        <w:endnoteReference w:id="143"/>
      </w:r>
      <w:r w:rsidRPr="00962D54">
        <w:rPr>
          <w:rFonts w:cs="Arial"/>
        </w:rPr>
        <w:t xml:space="preserve"> of the words themselves.</w:t>
      </w:r>
      <w:r w:rsidRPr="00962D54">
        <w:rPr>
          <w:rFonts w:cs="Arial"/>
          <w:vertAlign w:val="superscript"/>
        </w:rPr>
        <w:endnoteReference w:id="144"/>
      </w:r>
      <w:r w:rsidRPr="00962D54">
        <w:rPr>
          <w:rFonts w:cs="Arial"/>
        </w:rPr>
        <w:t xml:space="preserve"> Following </w:t>
      </w:r>
      <w:r w:rsidRPr="00962D54">
        <w:rPr>
          <w:rFonts w:cs="Arial"/>
          <w:i/>
          <w:iCs/>
        </w:rPr>
        <w:t>Engineers</w:t>
      </w:r>
      <w:r w:rsidRPr="00962D54">
        <w:rPr>
          <w:rFonts w:cs="Arial"/>
        </w:rPr>
        <w:t>,</w:t>
      </w:r>
      <w:r w:rsidRPr="00962D54">
        <w:rPr>
          <w:rFonts w:cs="Arial"/>
          <w:vertAlign w:val="superscript"/>
        </w:rPr>
        <w:endnoteReference w:id="145"/>
      </w:r>
      <w:r w:rsidRPr="00962D54">
        <w:rPr>
          <w:rFonts w:cs="Arial"/>
        </w:rPr>
        <w:t xml:space="preserve"> a judge in this mode will simply give the words of the </w:t>
      </w:r>
      <w:r w:rsidRPr="00962D54">
        <w:rPr>
          <w:rFonts w:cs="Arial"/>
          <w:i/>
          <w:iCs/>
        </w:rPr>
        <w:t>Constitution</w:t>
      </w:r>
      <w:r w:rsidRPr="00962D54">
        <w:rPr>
          <w:rFonts w:cs="Arial"/>
        </w:rPr>
        <w:t xml:space="preserve"> their ‘natural’ or ‘ordinary’ meaning, leading some to refer to this mode as ‘literalism’.</w:t>
      </w:r>
      <w:r w:rsidRPr="00962D54">
        <w:rPr>
          <w:rFonts w:cs="Arial"/>
          <w:vertAlign w:val="superscript"/>
        </w:rPr>
        <w:endnoteReference w:id="146"/>
      </w:r>
      <w:r w:rsidRPr="00962D54">
        <w:rPr>
          <w:rFonts w:cs="Arial"/>
        </w:rPr>
        <w:t xml:space="preserve"> </w:t>
      </w:r>
    </w:p>
    <w:p w:rsidR="007D11A4" w:rsidRPr="00962D54" w:rsidRDefault="007D11A4" w:rsidP="007D11A4">
      <w:pPr>
        <w:spacing w:before="100" w:beforeAutospacing="1" w:after="100" w:afterAutospacing="1"/>
        <w:jc w:val="both"/>
        <w:rPr>
          <w:rFonts w:cs="Arial"/>
        </w:rPr>
      </w:pPr>
      <w:proofErr w:type="spellStart"/>
      <w:r w:rsidRPr="00962D54">
        <w:rPr>
          <w:rFonts w:cs="Arial"/>
        </w:rPr>
        <w:t>Originalism</w:t>
      </w:r>
      <w:proofErr w:type="spellEnd"/>
      <w:r w:rsidRPr="00962D54">
        <w:rPr>
          <w:rFonts w:cs="Arial"/>
        </w:rPr>
        <w:t xml:space="preserve"> goes one step further, parsing the text and contextual evidence in an attempt to deduce the ‘purpose or understanding of the </w:t>
      </w:r>
      <w:r w:rsidRPr="00962D54">
        <w:rPr>
          <w:rFonts w:cs="Arial"/>
          <w:i/>
          <w:iCs/>
        </w:rPr>
        <w:t>Constitution’s</w:t>
      </w:r>
      <w:r w:rsidRPr="00962D54">
        <w:rPr>
          <w:rFonts w:cs="Arial"/>
        </w:rPr>
        <w:t xml:space="preserve"> framers’.</w:t>
      </w:r>
      <w:r w:rsidRPr="00962D54">
        <w:rPr>
          <w:rFonts w:cs="Arial"/>
          <w:vertAlign w:val="superscript"/>
        </w:rPr>
        <w:endnoteReference w:id="147"/>
      </w:r>
      <w:r w:rsidRPr="00962D54">
        <w:rPr>
          <w:rFonts w:cs="Arial"/>
        </w:rPr>
        <w:t xml:space="preserve"> This mode allows reference to the Convention debates,</w:t>
      </w:r>
      <w:r w:rsidRPr="00962D54">
        <w:rPr>
          <w:rStyle w:val="EndnoteReference"/>
          <w:rFonts w:cs="Arial"/>
        </w:rPr>
        <w:endnoteReference w:id="148"/>
      </w:r>
      <w:r w:rsidRPr="00962D54">
        <w:rPr>
          <w:rFonts w:cs="Arial"/>
        </w:rPr>
        <w:t xml:space="preserve"> but tends to fall short of searching for any ‘subjective beliefs, hopes or expectations’ of the framers,</w:t>
      </w:r>
      <w:r w:rsidRPr="00962D54">
        <w:rPr>
          <w:rFonts w:cs="Arial"/>
          <w:vertAlign w:val="superscript"/>
        </w:rPr>
        <w:t xml:space="preserve"> </w:t>
      </w:r>
      <w:r w:rsidRPr="00962D54">
        <w:rPr>
          <w:rFonts w:cs="Arial"/>
          <w:vertAlign w:val="superscript"/>
        </w:rPr>
        <w:endnoteReference w:id="149"/>
      </w:r>
      <w:r w:rsidRPr="00962D54">
        <w:rPr>
          <w:rFonts w:cs="Arial"/>
        </w:rPr>
        <w:t xml:space="preserve"> typically proceeding instead under the guise of ‘textual </w:t>
      </w:r>
      <w:proofErr w:type="spellStart"/>
      <w:r w:rsidRPr="00962D54">
        <w:rPr>
          <w:rFonts w:cs="Arial"/>
        </w:rPr>
        <w:t>originalism</w:t>
      </w:r>
      <w:proofErr w:type="spellEnd"/>
      <w:r w:rsidRPr="00962D54">
        <w:rPr>
          <w:rFonts w:cs="Arial"/>
        </w:rPr>
        <w:t>’</w:t>
      </w:r>
      <w:r w:rsidRPr="00962D54">
        <w:rPr>
          <w:rFonts w:cs="Arial"/>
          <w:vertAlign w:val="superscript"/>
        </w:rPr>
        <w:endnoteReference w:id="150"/>
      </w:r>
      <w:r w:rsidRPr="00962D54">
        <w:rPr>
          <w:rFonts w:cs="Arial"/>
        </w:rPr>
        <w:t xml:space="preserve"> which seeks to locate the original understanding of the text itself as evidenced by historical documents.</w:t>
      </w:r>
      <w:r w:rsidRPr="00962D54">
        <w:rPr>
          <w:rStyle w:val="EndnoteReference"/>
          <w:rFonts w:cs="Arial"/>
        </w:rPr>
        <w:endnoteReference w:id="151"/>
      </w:r>
      <w:r w:rsidRPr="00962D54">
        <w:rPr>
          <w:rFonts w:cs="Arial"/>
        </w:rPr>
        <w:t xml:space="preserve"> </w:t>
      </w:r>
    </w:p>
    <w:p w:rsidR="007D11A4" w:rsidRDefault="007D11A4" w:rsidP="007D11A4">
      <w:pPr>
        <w:spacing w:before="100" w:beforeAutospacing="1" w:after="100" w:afterAutospacing="1"/>
        <w:jc w:val="both"/>
        <w:rPr>
          <w:rFonts w:cs="Arial"/>
        </w:rPr>
      </w:pPr>
      <w:r w:rsidRPr="00962D54">
        <w:rPr>
          <w:rFonts w:cs="Arial"/>
        </w:rPr>
        <w:t>Structuralism is a different beast again. At its most straightforward, this mode draws inferences from the structure of the constitutional text or a combination of provisions.</w:t>
      </w:r>
      <w:r w:rsidRPr="00962D54">
        <w:rPr>
          <w:rFonts w:cs="Arial"/>
          <w:vertAlign w:val="superscript"/>
        </w:rPr>
        <w:endnoteReference w:id="152"/>
      </w:r>
      <w:r w:rsidRPr="00962D54">
        <w:rPr>
          <w:rFonts w:cs="Arial"/>
        </w:rPr>
        <w:t xml:space="preserve"> In its more advanced form, structuralism draws conclusions from the ‘nature of aspects of the system of government for which the </w:t>
      </w:r>
      <w:r w:rsidRPr="00962D54">
        <w:rPr>
          <w:rFonts w:cs="Arial"/>
          <w:i/>
          <w:iCs/>
        </w:rPr>
        <w:t>Constitution</w:t>
      </w:r>
      <w:r w:rsidRPr="00962D54">
        <w:rPr>
          <w:rFonts w:cs="Arial"/>
        </w:rPr>
        <w:t xml:space="preserve"> makes provision’.</w:t>
      </w:r>
      <w:r w:rsidRPr="00962D54">
        <w:rPr>
          <w:rFonts w:cs="Arial"/>
          <w:vertAlign w:val="superscript"/>
        </w:rPr>
        <w:endnoteReference w:id="153"/>
      </w:r>
      <w:r w:rsidRPr="00962D54">
        <w:rPr>
          <w:rFonts w:cs="Arial"/>
        </w:rPr>
        <w:t xml:space="preserve"> The strength of this mode is said to lie in its consideration of the </w:t>
      </w:r>
      <w:r w:rsidRPr="00962D54">
        <w:rPr>
          <w:rFonts w:cs="Arial"/>
          <w:i/>
          <w:iCs/>
        </w:rPr>
        <w:t>Constitution</w:t>
      </w:r>
      <w:r w:rsidRPr="00962D54">
        <w:rPr>
          <w:rFonts w:cs="Arial"/>
        </w:rPr>
        <w:t xml:space="preserve"> as a coherent whole, while its weakness is in its essentially inferential nature.</w:t>
      </w:r>
      <w:r w:rsidRPr="00962D54">
        <w:rPr>
          <w:rFonts w:cs="Arial"/>
          <w:vertAlign w:val="superscript"/>
        </w:rPr>
        <w:endnoteReference w:id="154"/>
      </w:r>
      <w:r w:rsidRPr="00962D54">
        <w:rPr>
          <w:rFonts w:cs="Arial"/>
        </w:rPr>
        <w:t xml:space="preserve"> </w:t>
      </w:r>
    </w:p>
    <w:p w:rsidR="007D11A4" w:rsidRPr="00962D54" w:rsidRDefault="007D11A4" w:rsidP="007D11A4">
      <w:pPr>
        <w:spacing w:before="100" w:beforeAutospacing="1" w:after="100" w:afterAutospacing="1"/>
        <w:jc w:val="both"/>
        <w:rPr>
          <w:rFonts w:cs="Arial"/>
        </w:rPr>
      </w:pPr>
      <w:r w:rsidRPr="00962D54">
        <w:rPr>
          <w:rFonts w:cs="Arial"/>
        </w:rPr>
        <w:t xml:space="preserve">Finally </w:t>
      </w:r>
      <w:r>
        <w:rPr>
          <w:rFonts w:cs="Arial"/>
        </w:rPr>
        <w:t>there are</w:t>
      </w:r>
      <w:r w:rsidRPr="00962D54">
        <w:rPr>
          <w:rFonts w:cs="Arial"/>
        </w:rPr>
        <w:t xml:space="preserve"> arguments based on precedent, a mode which has been described as applying ‘constitutionally relevant principles, rules or ideas derived from previous authorities in accordance with common law method[s]’.</w:t>
      </w:r>
      <w:r w:rsidRPr="00962D54">
        <w:rPr>
          <w:rStyle w:val="EndnoteReference"/>
          <w:rFonts w:cs="Arial"/>
        </w:rPr>
        <w:endnoteReference w:id="155"/>
      </w:r>
      <w:r w:rsidRPr="00962D54">
        <w:rPr>
          <w:rFonts w:cs="Arial"/>
        </w:rPr>
        <w:t xml:space="preserve"> Within this mode we find a whole family of methods of reasoning – doctrinal,</w:t>
      </w:r>
      <w:r w:rsidRPr="00962D54">
        <w:rPr>
          <w:rFonts w:cs="Arial"/>
          <w:vertAlign w:val="superscript"/>
        </w:rPr>
        <w:endnoteReference w:id="156"/>
      </w:r>
      <w:r w:rsidRPr="00962D54">
        <w:rPr>
          <w:rFonts w:cs="Arial"/>
        </w:rPr>
        <w:t xml:space="preserve"> prudential,</w:t>
      </w:r>
      <w:r w:rsidRPr="00962D54">
        <w:rPr>
          <w:rFonts w:cs="Arial"/>
          <w:vertAlign w:val="superscript"/>
        </w:rPr>
        <w:endnoteReference w:id="157"/>
      </w:r>
      <w:r w:rsidRPr="00962D54">
        <w:rPr>
          <w:rFonts w:cs="Arial"/>
        </w:rPr>
        <w:t xml:space="preserve"> ethical,</w:t>
      </w:r>
      <w:r w:rsidRPr="00962D54">
        <w:rPr>
          <w:rFonts w:cs="Arial"/>
          <w:vertAlign w:val="superscript"/>
        </w:rPr>
        <w:endnoteReference w:id="158"/>
      </w:r>
      <w:r w:rsidRPr="00962D54">
        <w:rPr>
          <w:rFonts w:cs="Arial"/>
        </w:rPr>
        <w:t xml:space="preserve"> comparative international</w:t>
      </w:r>
      <w:r w:rsidRPr="00962D54">
        <w:rPr>
          <w:rFonts w:cs="Arial"/>
          <w:vertAlign w:val="superscript"/>
        </w:rPr>
        <w:endnoteReference w:id="159"/>
      </w:r>
      <w:r w:rsidRPr="00962D54">
        <w:rPr>
          <w:rFonts w:cs="Arial"/>
        </w:rPr>
        <w:t xml:space="preserve"> – and McHugh J has argued that this mode is ‘consistent with the notion that our </w:t>
      </w:r>
      <w:r w:rsidRPr="00962D54">
        <w:rPr>
          <w:rFonts w:cs="Arial"/>
          <w:i/>
          <w:iCs/>
        </w:rPr>
        <w:t>Constitution</w:t>
      </w:r>
      <w:r w:rsidRPr="00962D54">
        <w:rPr>
          <w:rFonts w:cs="Arial"/>
        </w:rPr>
        <w:t xml:space="preserve"> was meant to be an enduring document able to apply to emerging circumstances while retaining its essential integrity.’</w:t>
      </w:r>
      <w:r w:rsidRPr="00962D54">
        <w:rPr>
          <w:rFonts w:cs="Arial"/>
          <w:vertAlign w:val="superscript"/>
        </w:rPr>
        <w:endnoteReference w:id="160"/>
      </w:r>
      <w:r w:rsidRPr="00962D54">
        <w:rPr>
          <w:rFonts w:cs="Arial"/>
        </w:rPr>
        <w:t xml:space="preserve"> This mode is especially strong in its ability to adapt to unforeseen circumstances,</w:t>
      </w:r>
      <w:r w:rsidRPr="00962D54">
        <w:rPr>
          <w:rFonts w:cs="Arial"/>
          <w:vertAlign w:val="superscript"/>
        </w:rPr>
        <w:endnoteReference w:id="161"/>
      </w:r>
      <w:r w:rsidRPr="00962D54">
        <w:rPr>
          <w:rFonts w:cs="Arial"/>
        </w:rPr>
        <w:t xml:space="preserve"> its allowance for the constitutional system to evolve,</w:t>
      </w:r>
      <w:r w:rsidRPr="00962D54">
        <w:rPr>
          <w:rStyle w:val="EndnoteReference"/>
          <w:rFonts w:cs="Arial"/>
        </w:rPr>
        <w:endnoteReference w:id="162"/>
      </w:r>
      <w:r w:rsidRPr="00962D54">
        <w:rPr>
          <w:rFonts w:cs="Arial"/>
        </w:rPr>
        <w:t xml:space="preserve"> and its ability to fill in the gaps where there are ambiguities in the </w:t>
      </w:r>
      <w:r w:rsidRPr="00962D54">
        <w:rPr>
          <w:rFonts w:cs="Arial"/>
          <w:i/>
          <w:iCs/>
        </w:rPr>
        <w:t>Constitution</w:t>
      </w:r>
      <w:r w:rsidRPr="00962D54">
        <w:rPr>
          <w:rFonts w:cs="Arial"/>
        </w:rPr>
        <w:t>;</w:t>
      </w:r>
      <w:r w:rsidRPr="00962D54">
        <w:rPr>
          <w:rFonts w:cs="Arial"/>
          <w:vertAlign w:val="superscript"/>
        </w:rPr>
        <w:endnoteReference w:id="163"/>
      </w:r>
      <w:r w:rsidRPr="00962D54">
        <w:rPr>
          <w:rFonts w:cs="Arial"/>
        </w:rPr>
        <w:t xml:space="preserve"> its weakness, on the other hand, is in its potential for unmitigated judicial activism.</w:t>
      </w:r>
      <w:r w:rsidRPr="00962D54">
        <w:rPr>
          <w:rFonts w:cs="Arial"/>
          <w:vertAlign w:val="superscript"/>
        </w:rPr>
        <w:endnoteReference w:id="164"/>
      </w:r>
      <w:r w:rsidRPr="00962D54">
        <w:rPr>
          <w:rFonts w:cs="Arial"/>
        </w:rPr>
        <w:t xml:space="preserve"> This risk can be overstated though,</w:t>
      </w:r>
      <w:r w:rsidRPr="00962D54">
        <w:rPr>
          <w:rStyle w:val="EndnoteReference"/>
          <w:rFonts w:cs="Arial"/>
        </w:rPr>
        <w:endnoteReference w:id="165"/>
      </w:r>
      <w:r w:rsidRPr="00962D54">
        <w:rPr>
          <w:rFonts w:cs="Arial"/>
        </w:rPr>
        <w:t xml:space="preserve"> as some very sensible suggestions have been made about how to maintain an acceptable minimum level of ‘judicial legitimacy’</w:t>
      </w:r>
      <w:r w:rsidRPr="00962D54">
        <w:rPr>
          <w:rFonts w:cs="Arial"/>
          <w:vertAlign w:val="superscript"/>
        </w:rPr>
        <w:endnoteReference w:id="166"/>
      </w:r>
      <w:r w:rsidRPr="00962D54">
        <w:rPr>
          <w:rFonts w:cs="Arial"/>
        </w:rPr>
        <w:t xml:space="preserve"> in such reasoning,</w:t>
      </w:r>
      <w:r w:rsidRPr="00962D54">
        <w:rPr>
          <w:rFonts w:cs="Arial"/>
          <w:vertAlign w:val="superscript"/>
        </w:rPr>
        <w:endnoteReference w:id="167"/>
      </w:r>
      <w:r w:rsidRPr="00962D54">
        <w:rPr>
          <w:rFonts w:cs="Arial"/>
        </w:rPr>
        <w:t xml:space="preserve"> for instance by requiring that any given judge remain consistent in approach,</w:t>
      </w:r>
      <w:r w:rsidRPr="00962D54">
        <w:rPr>
          <w:rFonts w:cs="Arial"/>
          <w:vertAlign w:val="superscript"/>
        </w:rPr>
        <w:endnoteReference w:id="168"/>
      </w:r>
      <w:r w:rsidRPr="00962D54">
        <w:rPr>
          <w:rFonts w:cs="Arial"/>
        </w:rPr>
        <w:t xml:space="preserve"> thereby avoiding </w:t>
      </w:r>
      <w:r w:rsidRPr="00962D54">
        <w:rPr>
          <w:rFonts w:cs="Arial"/>
        </w:rPr>
        <w:lastRenderedPageBreak/>
        <w:t>the situation where the judiciary is seen as justifying subjectively chosen outcomes under the banner of whichever mode of reasoning most lends it credibility.</w:t>
      </w:r>
      <w:r w:rsidRPr="00962D54">
        <w:rPr>
          <w:rFonts w:cs="Arial"/>
          <w:vertAlign w:val="superscript"/>
        </w:rPr>
        <w:endnoteReference w:id="169"/>
      </w:r>
      <w:r w:rsidRPr="00962D54">
        <w:rPr>
          <w:rFonts w:cs="Arial"/>
        </w:rPr>
        <w:t xml:space="preserve"> </w:t>
      </w:r>
    </w:p>
    <w:p w:rsidR="007D11A4" w:rsidRPr="00962D54" w:rsidRDefault="007D11A4" w:rsidP="007D11A4">
      <w:pPr>
        <w:spacing w:before="100" w:beforeAutospacing="1" w:after="100" w:afterAutospacing="1"/>
        <w:rPr>
          <w:rFonts w:cs="Arial"/>
          <w:bCs/>
          <w:szCs w:val="22"/>
        </w:rPr>
      </w:pPr>
      <w:r w:rsidRPr="00962D54">
        <w:rPr>
          <w:rFonts w:cs="Arial"/>
          <w:bCs/>
          <w:i/>
          <w:iCs/>
        </w:rPr>
        <w:t>Using the whole toolkit</w:t>
      </w:r>
    </w:p>
    <w:p w:rsidR="007D11A4" w:rsidRDefault="007D11A4" w:rsidP="007D11A4">
      <w:pPr>
        <w:spacing w:before="100" w:beforeAutospacing="1" w:after="100" w:afterAutospacing="1"/>
        <w:jc w:val="both"/>
        <w:rPr>
          <w:rFonts w:cs="Arial"/>
        </w:rPr>
      </w:pPr>
      <w:r w:rsidRPr="00962D54">
        <w:rPr>
          <w:rFonts w:cs="Arial"/>
        </w:rPr>
        <w:t xml:space="preserve">Given the many options available, there is no reason to suggest that the present mode of interpretation is </w:t>
      </w:r>
      <w:r>
        <w:rPr>
          <w:rFonts w:cs="Arial"/>
        </w:rPr>
        <w:t xml:space="preserve">in </w:t>
      </w:r>
      <w:r w:rsidRPr="00962D54">
        <w:rPr>
          <w:rFonts w:cs="Arial"/>
        </w:rPr>
        <w:t>any way permanent</w:t>
      </w:r>
      <w:r w:rsidRPr="00962D54">
        <w:rPr>
          <w:rFonts w:cs="Arial"/>
          <w:vertAlign w:val="superscript"/>
        </w:rPr>
        <w:endnoteReference w:id="170"/>
      </w:r>
      <w:r w:rsidRPr="00962D54">
        <w:rPr>
          <w:rFonts w:cs="Arial"/>
        </w:rPr>
        <w:t xml:space="preserve"> or even necessary.</w:t>
      </w:r>
      <w:r w:rsidRPr="00962D54">
        <w:rPr>
          <w:rFonts w:cs="Arial"/>
          <w:vertAlign w:val="superscript"/>
        </w:rPr>
        <w:endnoteReference w:id="171"/>
      </w:r>
      <w:r w:rsidRPr="00962D54">
        <w:rPr>
          <w:rFonts w:cs="Arial"/>
        </w:rPr>
        <w:t xml:space="preserve"> On the contrary, modes of constitutional interpretation tend to come in and out of fashion,</w:t>
      </w:r>
      <w:r w:rsidRPr="00962D54">
        <w:rPr>
          <w:rFonts w:cs="Arial"/>
          <w:vertAlign w:val="superscript"/>
        </w:rPr>
        <w:endnoteReference w:id="172"/>
      </w:r>
      <w:r w:rsidRPr="00962D54">
        <w:rPr>
          <w:rFonts w:cs="Arial"/>
        </w:rPr>
        <w:t xml:space="preserve"> and often there can be staunchly divided views on the topic even within the same High Court.</w:t>
      </w:r>
      <w:r w:rsidRPr="00962D54">
        <w:rPr>
          <w:rStyle w:val="EndnoteReference"/>
          <w:rFonts w:cs="Arial"/>
        </w:rPr>
        <w:endnoteReference w:id="173"/>
      </w:r>
      <w:r w:rsidRPr="00962D54">
        <w:rPr>
          <w:rFonts w:cs="Arial"/>
        </w:rPr>
        <w:t xml:space="preserve"> What can be said for certain is that there is no ‘right answer’ to interpretation,</w:t>
      </w:r>
      <w:r w:rsidRPr="00962D54">
        <w:rPr>
          <w:rFonts w:cs="Arial"/>
          <w:vertAlign w:val="superscript"/>
        </w:rPr>
        <w:endnoteReference w:id="174"/>
      </w:r>
      <w:r w:rsidRPr="00962D54">
        <w:rPr>
          <w:rFonts w:cs="Arial"/>
        </w:rPr>
        <w:t xml:space="preserve"> and that even though several commentators argue (perhaps a touch pessimistically) that it is unlikely the Court will do so,</w:t>
      </w:r>
      <w:r w:rsidRPr="00962D54">
        <w:rPr>
          <w:rStyle w:val="EndnoteReference"/>
          <w:rFonts w:cs="Arial"/>
        </w:rPr>
        <w:endnoteReference w:id="175"/>
      </w:r>
      <w:r w:rsidRPr="00962D54">
        <w:rPr>
          <w:rFonts w:cs="Arial"/>
        </w:rPr>
        <w:t xml:space="preserve"> it is open to the High Court to depart from previous approaches and even authorities.</w:t>
      </w:r>
      <w:r w:rsidRPr="00962D54">
        <w:rPr>
          <w:rFonts w:cs="Arial"/>
          <w:vertAlign w:val="superscript"/>
        </w:rPr>
        <w:endnoteReference w:id="176"/>
      </w:r>
      <w:r w:rsidRPr="00962D54">
        <w:rPr>
          <w:rFonts w:cs="Arial"/>
        </w:rPr>
        <w:t xml:space="preserve"> </w:t>
      </w:r>
    </w:p>
    <w:p w:rsidR="007D11A4" w:rsidRPr="00962D54" w:rsidRDefault="007D11A4" w:rsidP="007D11A4">
      <w:pPr>
        <w:spacing w:before="100" w:beforeAutospacing="1" w:after="100" w:afterAutospacing="1"/>
        <w:rPr>
          <w:rFonts w:cs="Arial"/>
          <w:b/>
          <w:bCs/>
          <w:i/>
        </w:rPr>
      </w:pPr>
      <w:r w:rsidRPr="00962D54">
        <w:rPr>
          <w:rFonts w:cs="Arial"/>
          <w:b/>
          <w:bCs/>
          <w:i/>
        </w:rPr>
        <w:t>Reinterpreting the separation of powers doctrine</w:t>
      </w:r>
    </w:p>
    <w:p w:rsidR="007D11A4" w:rsidRPr="00962D54" w:rsidRDefault="007D11A4" w:rsidP="007D11A4">
      <w:pPr>
        <w:spacing w:before="100" w:beforeAutospacing="1" w:after="100" w:afterAutospacing="1"/>
        <w:jc w:val="both"/>
        <w:rPr>
          <w:rFonts w:cs="Arial"/>
        </w:rPr>
      </w:pPr>
      <w:r w:rsidRPr="00962D54">
        <w:rPr>
          <w:rFonts w:cs="Arial"/>
        </w:rPr>
        <w:t>Beyond the fact that the separation of powers doctrine can have undesirable consequences in the context of judicial review, the doctrine itself is riddled with flaws at a theoretical level. First, as mentioned earlier, there is no bright-line distinction between merits and law that can serve to clearly define the ‘province and duty’ of the judiciary;</w:t>
      </w:r>
      <w:r w:rsidRPr="00962D54">
        <w:rPr>
          <w:rStyle w:val="EndnoteReference"/>
          <w:rFonts w:cs="Arial"/>
        </w:rPr>
        <w:endnoteReference w:id="177"/>
      </w:r>
      <w:r w:rsidRPr="00962D54">
        <w:rPr>
          <w:rFonts w:cs="Arial"/>
        </w:rPr>
        <w:t xml:space="preserve"> rather the boundary is ‘porous and ill-defined’.</w:t>
      </w:r>
      <w:r w:rsidRPr="00962D54">
        <w:rPr>
          <w:rFonts w:cs="Arial"/>
          <w:vertAlign w:val="superscript"/>
        </w:rPr>
        <w:endnoteReference w:id="178"/>
      </w:r>
      <w:r w:rsidRPr="00962D54">
        <w:rPr>
          <w:rFonts w:cs="Arial"/>
        </w:rPr>
        <w:t xml:space="preserve"> This is all the more apparent when one considers that the distinction is almost obliterated in the context of the separation of legislative and executive power,</w:t>
      </w:r>
      <w:r w:rsidRPr="00962D54">
        <w:rPr>
          <w:rFonts w:cs="Arial"/>
          <w:vertAlign w:val="superscript"/>
        </w:rPr>
        <w:endnoteReference w:id="179"/>
      </w:r>
      <w:r w:rsidRPr="00962D54">
        <w:rPr>
          <w:rFonts w:cs="Arial"/>
        </w:rPr>
        <w:t xml:space="preserve"> a normally unnoticed black hole in the doctrine. Second, it is difficult to justify why the doctrine should have been transplanted to the state context in </w:t>
      </w:r>
      <w:r w:rsidRPr="00962D54">
        <w:rPr>
          <w:rFonts w:cs="Arial"/>
          <w:i/>
          <w:iCs/>
        </w:rPr>
        <w:t>Kirk</w:t>
      </w:r>
      <w:r w:rsidRPr="00962D54">
        <w:rPr>
          <w:rFonts w:cs="Arial"/>
        </w:rPr>
        <w:t>, given that the various state constitutions do not adopt an entrenched separation of powers themselves.</w:t>
      </w:r>
      <w:r w:rsidRPr="00962D54">
        <w:rPr>
          <w:rFonts w:cs="Arial"/>
          <w:vertAlign w:val="superscript"/>
        </w:rPr>
        <w:endnoteReference w:id="180"/>
      </w:r>
      <w:r w:rsidRPr="00962D54">
        <w:rPr>
          <w:rFonts w:cs="Arial"/>
        </w:rPr>
        <w:t xml:space="preserve"> </w:t>
      </w:r>
    </w:p>
    <w:p w:rsidR="007D11A4" w:rsidRPr="00962D54" w:rsidRDefault="007D11A4" w:rsidP="007D11A4">
      <w:pPr>
        <w:spacing w:before="100" w:beforeAutospacing="1" w:after="100" w:afterAutospacing="1"/>
        <w:jc w:val="both"/>
        <w:rPr>
          <w:rFonts w:cs="Arial"/>
        </w:rPr>
      </w:pPr>
      <w:r w:rsidRPr="00962D54">
        <w:rPr>
          <w:rFonts w:cs="Arial"/>
        </w:rPr>
        <w:t>Most importantly however, the historical support for the doctrine is in fact quite fragile,</w:t>
      </w:r>
      <w:r w:rsidRPr="00962D54">
        <w:rPr>
          <w:rFonts w:cs="Arial"/>
          <w:vertAlign w:val="superscript"/>
        </w:rPr>
        <w:endnoteReference w:id="181"/>
      </w:r>
      <w:r w:rsidRPr="00962D54">
        <w:rPr>
          <w:rFonts w:cs="Arial"/>
        </w:rPr>
        <w:t xml:space="preserve"> with the Convention debates offering ‘little evidence’ that the framers intended such a doctrine to be implied.</w:t>
      </w:r>
      <w:r w:rsidRPr="00962D54">
        <w:rPr>
          <w:rFonts w:cs="Arial"/>
          <w:vertAlign w:val="superscript"/>
        </w:rPr>
        <w:endnoteReference w:id="182"/>
      </w:r>
      <w:r w:rsidRPr="00962D54">
        <w:rPr>
          <w:rFonts w:cs="Arial"/>
        </w:rPr>
        <w:t xml:space="preserve"> Wheeler explores this in detail, arguing that while sections 1, 61 and 71 are capable, textually speaking, of supporting a legally enforceable separation of powers doctrine,</w:t>
      </w:r>
      <w:r w:rsidRPr="00962D54">
        <w:rPr>
          <w:rFonts w:cs="Arial"/>
          <w:vertAlign w:val="superscript"/>
        </w:rPr>
        <w:endnoteReference w:id="183"/>
      </w:r>
      <w:r w:rsidRPr="00962D54">
        <w:rPr>
          <w:rFonts w:cs="Arial"/>
        </w:rPr>
        <w:t xml:space="preserve"> this is not the necessary conclusion.</w:t>
      </w:r>
      <w:r w:rsidRPr="00962D54">
        <w:rPr>
          <w:rFonts w:cs="Arial"/>
          <w:vertAlign w:val="superscript"/>
        </w:rPr>
        <w:endnoteReference w:id="184"/>
      </w:r>
      <w:r w:rsidRPr="00962D54">
        <w:rPr>
          <w:rFonts w:cs="Arial"/>
        </w:rPr>
        <w:t xml:space="preserve"> She attributes the pervasiveness of the assumption to the writers Quick and Garran, who at a very early stage suggested that ‘the distinction is peremptory’,</w:t>
      </w:r>
      <w:r w:rsidRPr="00962D54">
        <w:rPr>
          <w:rFonts w:cs="Arial"/>
          <w:vertAlign w:val="superscript"/>
        </w:rPr>
        <w:endnoteReference w:id="185"/>
      </w:r>
      <w:r w:rsidRPr="00962D54">
        <w:rPr>
          <w:rFonts w:cs="Arial"/>
        </w:rPr>
        <w:t xml:space="preserve"> yet on an analysis of the debates, </w:t>
      </w:r>
      <w:proofErr w:type="spellStart"/>
      <w:r w:rsidRPr="00962D54">
        <w:rPr>
          <w:rFonts w:cs="Arial"/>
        </w:rPr>
        <w:t>Finnis</w:t>
      </w:r>
      <w:proofErr w:type="spellEnd"/>
      <w:r w:rsidRPr="00962D54">
        <w:rPr>
          <w:rFonts w:cs="Arial"/>
        </w:rPr>
        <w:t xml:space="preserve"> shows that ‘[the framers] regarded the </w:t>
      </w:r>
      <w:r w:rsidRPr="00962D54">
        <w:rPr>
          <w:rFonts w:cs="Arial"/>
          <w:i/>
        </w:rPr>
        <w:t>Constitution</w:t>
      </w:r>
      <w:r w:rsidRPr="00962D54">
        <w:rPr>
          <w:rFonts w:cs="Arial"/>
        </w:rPr>
        <w:t xml:space="preserve"> as incorporating an institutional, as opposed to abstract, theory of separation of powers’.</w:t>
      </w:r>
      <w:r w:rsidRPr="00962D54">
        <w:rPr>
          <w:rFonts w:cs="Arial"/>
          <w:vertAlign w:val="superscript"/>
        </w:rPr>
        <w:endnoteReference w:id="186"/>
      </w:r>
      <w:r w:rsidRPr="00962D54">
        <w:rPr>
          <w:rFonts w:cs="Arial"/>
        </w:rPr>
        <w:t xml:space="preserve"> Nowhere in the debates is there any real discussion of the doctrine at an abstract level, yet today it is taken for granted that this was the solemn and indisputable intention of the framers.   </w:t>
      </w:r>
    </w:p>
    <w:p w:rsidR="007D11A4" w:rsidRPr="00962D54" w:rsidRDefault="007D11A4" w:rsidP="007D11A4">
      <w:pPr>
        <w:spacing w:before="100" w:beforeAutospacing="1" w:after="100" w:afterAutospacing="1"/>
        <w:rPr>
          <w:rFonts w:cs="Arial"/>
          <w:b/>
          <w:bCs/>
          <w:i/>
        </w:rPr>
      </w:pPr>
      <w:r w:rsidRPr="00962D54">
        <w:rPr>
          <w:rFonts w:cs="Arial"/>
          <w:b/>
          <w:bCs/>
          <w:i/>
        </w:rPr>
        <w:t>Reinterpreting section 75(v)</w:t>
      </w:r>
    </w:p>
    <w:p w:rsidR="007D11A4" w:rsidRPr="00962D54" w:rsidRDefault="007D11A4" w:rsidP="007D11A4">
      <w:pPr>
        <w:spacing w:before="100" w:beforeAutospacing="1" w:after="100" w:afterAutospacing="1"/>
        <w:jc w:val="both"/>
        <w:rPr>
          <w:rFonts w:cs="Arial"/>
        </w:rPr>
      </w:pPr>
      <w:r w:rsidRPr="00962D54">
        <w:rPr>
          <w:rFonts w:cs="Arial"/>
        </w:rPr>
        <w:t xml:space="preserve">We can apply a similar analysis to section 75(v) of the </w:t>
      </w:r>
      <w:r w:rsidRPr="00962D54">
        <w:rPr>
          <w:rFonts w:cs="Arial"/>
          <w:i/>
          <w:iCs/>
        </w:rPr>
        <w:t>Constitution</w:t>
      </w:r>
      <w:r w:rsidRPr="00962D54">
        <w:rPr>
          <w:rFonts w:cs="Arial"/>
        </w:rPr>
        <w:t>. The section is not an easy one to interpret, and two immediate hurdles present themselves. The first is that section 75(v) simply names remedies for which the High Court’s supervisory jurisdiction is available but says nothing about the grounds of review that lead to those remedies,</w:t>
      </w:r>
      <w:r w:rsidRPr="00962D54">
        <w:rPr>
          <w:rFonts w:cs="Arial"/>
          <w:vertAlign w:val="superscript"/>
        </w:rPr>
        <w:endnoteReference w:id="187"/>
      </w:r>
      <w:r w:rsidRPr="00962D54">
        <w:rPr>
          <w:rFonts w:cs="Arial"/>
        </w:rPr>
        <w:t xml:space="preserve"> the usual assumption being that the common law will provide the grounds.</w:t>
      </w:r>
      <w:r w:rsidRPr="00962D54">
        <w:rPr>
          <w:rFonts w:cs="Arial"/>
          <w:vertAlign w:val="superscript"/>
        </w:rPr>
        <w:endnoteReference w:id="188"/>
      </w:r>
      <w:r w:rsidRPr="00962D54">
        <w:rPr>
          <w:rFonts w:cs="Arial"/>
        </w:rPr>
        <w:t xml:space="preserve"> The second hurdle is that section 75(v) names three forms of relief: writs of mandamus, writs of prohibition and claims for an injunction, yet neglects in the process a number of other remedies that also existed in 1900, such as quo </w:t>
      </w:r>
      <w:proofErr w:type="spellStart"/>
      <w:r w:rsidRPr="00962D54">
        <w:rPr>
          <w:rFonts w:cs="Arial"/>
        </w:rPr>
        <w:t>warranto</w:t>
      </w:r>
      <w:proofErr w:type="spellEnd"/>
      <w:r w:rsidRPr="00962D54">
        <w:rPr>
          <w:rFonts w:cs="Arial"/>
        </w:rPr>
        <w:t>, certiorari and habeas corpus.</w:t>
      </w:r>
      <w:r w:rsidRPr="00962D54">
        <w:rPr>
          <w:rFonts w:cs="Arial"/>
          <w:vertAlign w:val="superscript"/>
        </w:rPr>
        <w:endnoteReference w:id="189"/>
      </w:r>
      <w:r w:rsidRPr="00962D54">
        <w:rPr>
          <w:rFonts w:cs="Arial"/>
        </w:rPr>
        <w:t xml:space="preserve"> It is important to proceed cautiously in reading too much or too little into the specific remedies named, as on </w:t>
      </w:r>
      <w:r>
        <w:rPr>
          <w:rFonts w:cs="Arial"/>
        </w:rPr>
        <w:t xml:space="preserve">the </w:t>
      </w:r>
      <w:r w:rsidRPr="00962D54">
        <w:rPr>
          <w:rFonts w:cs="Arial"/>
        </w:rPr>
        <w:t xml:space="preserve">one hand, there appears to have been an assumption at the Convention debates that other remedies could issue regardless as remedies </w:t>
      </w:r>
      <w:proofErr w:type="gramStart"/>
      <w:r w:rsidRPr="00962D54">
        <w:rPr>
          <w:rFonts w:cs="Arial"/>
        </w:rPr>
        <w:t>ancillary</w:t>
      </w:r>
      <w:r>
        <w:rPr>
          <w:rFonts w:cs="Arial"/>
        </w:rPr>
        <w:t xml:space="preserve"> </w:t>
      </w:r>
      <w:r w:rsidRPr="00962D54">
        <w:rPr>
          <w:rFonts w:cs="Arial"/>
        </w:rPr>
        <w:t xml:space="preserve"> to</w:t>
      </w:r>
      <w:proofErr w:type="gramEnd"/>
      <w:r w:rsidRPr="00962D54">
        <w:rPr>
          <w:rFonts w:cs="Arial"/>
        </w:rPr>
        <w:t xml:space="preserve"> the exercise of original jurisdiction</w:t>
      </w:r>
      <w:r w:rsidRPr="00962D54">
        <w:rPr>
          <w:rFonts w:cs="Arial"/>
          <w:vertAlign w:val="superscript"/>
        </w:rPr>
        <w:endnoteReference w:id="190"/>
      </w:r>
      <w:r w:rsidRPr="00962D54">
        <w:rPr>
          <w:rFonts w:cs="Arial"/>
        </w:rPr>
        <w:t xml:space="preserve"> </w:t>
      </w:r>
      <w:r>
        <w:rPr>
          <w:rFonts w:cs="Arial"/>
        </w:rPr>
        <w:t>but,</w:t>
      </w:r>
      <w:r w:rsidRPr="00962D54">
        <w:rPr>
          <w:rFonts w:cs="Arial"/>
        </w:rPr>
        <w:t xml:space="preserve"> on the other hand, the particular remedies here all have an especially judicial review theme, suggesting</w:t>
      </w:r>
      <w:r>
        <w:rPr>
          <w:rFonts w:cs="Arial"/>
        </w:rPr>
        <w:t xml:space="preserve"> that</w:t>
      </w:r>
      <w:r w:rsidRPr="00962D54">
        <w:rPr>
          <w:rFonts w:cs="Arial"/>
        </w:rPr>
        <w:t xml:space="preserve"> they were quite deliberately selected. It is by dint of this section that jurisdictional error is said to be entrenched.      </w:t>
      </w:r>
    </w:p>
    <w:p w:rsidR="007D11A4" w:rsidRPr="00962D54" w:rsidRDefault="007D11A4" w:rsidP="007D11A4">
      <w:pPr>
        <w:spacing w:before="100" w:beforeAutospacing="1" w:after="100" w:afterAutospacing="1"/>
        <w:rPr>
          <w:rFonts w:cs="Arial"/>
          <w:bCs/>
          <w:szCs w:val="22"/>
        </w:rPr>
      </w:pPr>
      <w:r w:rsidRPr="00962D54">
        <w:rPr>
          <w:rFonts w:cs="Arial"/>
          <w:bCs/>
          <w:i/>
          <w:iCs/>
        </w:rPr>
        <w:lastRenderedPageBreak/>
        <w:t>Must jurisdictional error be retained?</w:t>
      </w:r>
    </w:p>
    <w:p w:rsidR="007D11A4" w:rsidRPr="00962D54" w:rsidRDefault="007D11A4" w:rsidP="007D11A4">
      <w:pPr>
        <w:spacing w:before="100" w:beforeAutospacing="1" w:after="100" w:afterAutospacing="1"/>
        <w:jc w:val="both"/>
        <w:rPr>
          <w:rFonts w:cs="Arial"/>
        </w:rPr>
      </w:pPr>
      <w:r w:rsidRPr="00962D54">
        <w:rPr>
          <w:rFonts w:cs="Arial"/>
        </w:rPr>
        <w:t>Four arguments suggest that it may be possible to do away with the constitutional entrenchment of jurisdictional error as the sole basis for judicial review. First, there is the observation mentioned above that section 75(v) says nothing about grounds, yet jurisdictional error is a grounds-based discourse; Taggart argues that this sleight of hand is somewhat unconvincing</w:t>
      </w:r>
      <w:r w:rsidRPr="00962D54">
        <w:rPr>
          <w:rFonts w:cs="Arial"/>
          <w:vertAlign w:val="superscript"/>
        </w:rPr>
        <w:endnoteReference w:id="191"/>
      </w:r>
      <w:r w:rsidRPr="00962D54">
        <w:rPr>
          <w:rFonts w:cs="Arial"/>
        </w:rPr>
        <w:t xml:space="preserve"> and that the unnecessary retention of jurisdictional error contributes to the ‘often Byzantine quality of much of the Australian judicial and academic </w:t>
      </w:r>
      <w:proofErr w:type="gramStart"/>
      <w:r w:rsidRPr="00962D54">
        <w:rPr>
          <w:rFonts w:cs="Arial"/>
        </w:rPr>
        <w:t>analysis’</w:t>
      </w:r>
      <w:proofErr w:type="gramEnd"/>
      <w:r w:rsidRPr="00962D54">
        <w:rPr>
          <w:rFonts w:cs="Arial"/>
        </w:rPr>
        <w:t>.</w:t>
      </w:r>
      <w:r w:rsidRPr="00962D54">
        <w:rPr>
          <w:rFonts w:cs="Arial"/>
          <w:vertAlign w:val="superscript"/>
        </w:rPr>
        <w:endnoteReference w:id="192"/>
      </w:r>
      <w:r w:rsidRPr="00962D54">
        <w:rPr>
          <w:rFonts w:cs="Arial"/>
        </w:rPr>
        <w:t xml:space="preserve"> Second, it is not a foregone conclusion that section 75(v) was intended to entrench a right to judicial review. The section is said to have been included for three purposes: a ‘safeguarding of High Court jurisdiction’ purpose (in response to </w:t>
      </w:r>
      <w:proofErr w:type="spellStart"/>
      <w:r w:rsidRPr="00962D54">
        <w:rPr>
          <w:rFonts w:cs="Arial"/>
          <w:i/>
          <w:iCs/>
        </w:rPr>
        <w:t>Marbury</w:t>
      </w:r>
      <w:proofErr w:type="spellEnd"/>
      <w:r w:rsidRPr="00962D54">
        <w:rPr>
          <w:rFonts w:cs="Arial"/>
          <w:i/>
          <w:iCs/>
        </w:rPr>
        <w:t xml:space="preserve"> v Madison</w:t>
      </w:r>
      <w:r w:rsidRPr="00962D54">
        <w:rPr>
          <w:rFonts w:cs="Arial"/>
        </w:rPr>
        <w:t>),</w:t>
      </w:r>
      <w:r w:rsidRPr="00962D54">
        <w:rPr>
          <w:rStyle w:val="EndnoteReference"/>
          <w:rFonts w:cs="Arial"/>
        </w:rPr>
        <w:endnoteReference w:id="193"/>
      </w:r>
      <w:r w:rsidRPr="00962D54">
        <w:rPr>
          <w:rFonts w:cs="Arial"/>
        </w:rPr>
        <w:t xml:space="preserve"> a federalism purpose, and an accountability purpose.</w:t>
      </w:r>
      <w:r w:rsidRPr="00962D54">
        <w:rPr>
          <w:rFonts w:cs="Arial"/>
          <w:vertAlign w:val="superscript"/>
        </w:rPr>
        <w:endnoteReference w:id="194"/>
      </w:r>
      <w:r w:rsidRPr="00962D54">
        <w:rPr>
          <w:rFonts w:cs="Arial"/>
        </w:rPr>
        <w:t xml:space="preserve"> While the accountability purpose is the one relied upon to defend the entrenchment of a right to judicial review,</w:t>
      </w:r>
      <w:r w:rsidRPr="00962D54">
        <w:rPr>
          <w:rFonts w:cs="Arial"/>
          <w:vertAlign w:val="superscript"/>
        </w:rPr>
        <w:endnoteReference w:id="195"/>
      </w:r>
      <w:r w:rsidRPr="00962D54">
        <w:rPr>
          <w:rFonts w:cs="Arial"/>
        </w:rPr>
        <w:t xml:space="preserve"> </w:t>
      </w:r>
      <w:proofErr w:type="spellStart"/>
      <w:r w:rsidRPr="00962D54">
        <w:rPr>
          <w:rFonts w:cs="Arial"/>
        </w:rPr>
        <w:t>Stellios</w:t>
      </w:r>
      <w:proofErr w:type="spellEnd"/>
      <w:r w:rsidRPr="00962D54">
        <w:rPr>
          <w:rFonts w:cs="Arial"/>
        </w:rPr>
        <w:t xml:space="preserve"> shows that this purpose played a relatively minor part in the Convention debates,</w:t>
      </w:r>
      <w:r w:rsidRPr="00962D54">
        <w:rPr>
          <w:rFonts w:cs="Arial"/>
          <w:vertAlign w:val="superscript"/>
        </w:rPr>
        <w:endnoteReference w:id="196"/>
      </w:r>
      <w:r w:rsidRPr="00962D54">
        <w:rPr>
          <w:rFonts w:cs="Arial"/>
        </w:rPr>
        <w:t xml:space="preserve"> the framers being much more interested in ensuring the High Court’s universal jurisdiction than in entrenching any corresponding right to secure relief from it. Third, it has been argued that jurisdictional error is constitutionally mandated because of the lack of a writ of certiorari in the section 75(v) list of remedies,</w:t>
      </w:r>
      <w:r w:rsidRPr="00962D54">
        <w:rPr>
          <w:rFonts w:cs="Arial"/>
          <w:vertAlign w:val="superscript"/>
        </w:rPr>
        <w:endnoteReference w:id="197"/>
      </w:r>
      <w:r w:rsidRPr="00962D54">
        <w:rPr>
          <w:rFonts w:cs="Arial"/>
        </w:rPr>
        <w:t xml:space="preserve"> yet the above acknowledgement by the framers that certiorari could issue as a remedy ancillary to the others robs this argument of some of its force.</w:t>
      </w:r>
      <w:r w:rsidRPr="00962D54">
        <w:rPr>
          <w:rFonts w:cs="Arial"/>
          <w:vertAlign w:val="superscript"/>
        </w:rPr>
        <w:endnoteReference w:id="198"/>
      </w:r>
      <w:r w:rsidRPr="00962D54">
        <w:rPr>
          <w:rFonts w:cs="Arial"/>
        </w:rPr>
        <w:t xml:space="preserve"> Finally and most relevantly, it is not at all clear in the new constitutional context of judicial review that jurisdictional error must still be the central unifying concept of the field. Just as the rebranding of prerogative writs to constitutional writs accompanied a rethinking of the content of those remedies,</w:t>
      </w:r>
      <w:r w:rsidRPr="00962D54">
        <w:rPr>
          <w:rFonts w:cs="Arial"/>
          <w:vertAlign w:val="superscript"/>
        </w:rPr>
        <w:endnoteReference w:id="199"/>
      </w:r>
      <w:r w:rsidRPr="00962D54">
        <w:rPr>
          <w:rFonts w:cs="Arial"/>
        </w:rPr>
        <w:t xml:space="preserve"> the new terminological context in which jurisdictional error now finds itself surely necessitates a fresh analysis,</w:t>
      </w:r>
      <w:r w:rsidRPr="00962D54">
        <w:rPr>
          <w:rFonts w:cs="Arial"/>
          <w:vertAlign w:val="superscript"/>
        </w:rPr>
        <w:endnoteReference w:id="200"/>
      </w:r>
      <w:r w:rsidRPr="00962D54">
        <w:rPr>
          <w:rFonts w:cs="Arial"/>
        </w:rPr>
        <w:t xml:space="preserve"> ‘rather than [remaining] in terms of the inheritance of the common law’.</w:t>
      </w:r>
      <w:r w:rsidRPr="00962D54">
        <w:rPr>
          <w:rFonts w:cs="Arial"/>
          <w:vertAlign w:val="superscript"/>
        </w:rPr>
        <w:endnoteReference w:id="201"/>
      </w:r>
      <w:r w:rsidRPr="00962D54">
        <w:rPr>
          <w:rFonts w:cs="Arial"/>
        </w:rPr>
        <w:t xml:space="preserve"> This is all the more so given that jurisdictional error is typically understood as the outcome of a process of statutory interpretation,</w:t>
      </w:r>
      <w:r w:rsidRPr="00962D54">
        <w:rPr>
          <w:rFonts w:cs="Arial"/>
          <w:vertAlign w:val="superscript"/>
        </w:rPr>
        <w:endnoteReference w:id="202"/>
      </w:r>
      <w:r w:rsidRPr="00962D54">
        <w:rPr>
          <w:rFonts w:cs="Arial"/>
        </w:rPr>
        <w:t xml:space="preserve"> which sits awkwardly with its elevation to a constitutional norm that sits above legislation.      </w:t>
      </w:r>
    </w:p>
    <w:p w:rsidR="007D11A4" w:rsidRPr="00962D54" w:rsidRDefault="007D11A4" w:rsidP="007D11A4">
      <w:pPr>
        <w:spacing w:before="100" w:beforeAutospacing="1" w:after="100" w:afterAutospacing="1"/>
        <w:rPr>
          <w:rFonts w:cs="Arial"/>
          <w:bCs/>
          <w:szCs w:val="22"/>
        </w:rPr>
      </w:pPr>
      <w:r w:rsidRPr="00962D54">
        <w:rPr>
          <w:rFonts w:cs="Arial"/>
          <w:bCs/>
          <w:i/>
          <w:iCs/>
        </w:rPr>
        <w:t>Can jurisdictional error be expanded?</w:t>
      </w:r>
    </w:p>
    <w:p w:rsidR="007D11A4" w:rsidRPr="00962D54" w:rsidRDefault="007D11A4" w:rsidP="007D11A4">
      <w:pPr>
        <w:spacing w:before="100" w:beforeAutospacing="1" w:after="100" w:afterAutospacing="1"/>
        <w:jc w:val="both"/>
        <w:rPr>
          <w:rFonts w:cs="Arial"/>
          <w:b/>
          <w:bCs/>
          <w:szCs w:val="22"/>
        </w:rPr>
      </w:pPr>
      <w:r w:rsidRPr="00962D54">
        <w:rPr>
          <w:rFonts w:cs="Arial"/>
        </w:rPr>
        <w:t xml:space="preserve">Alternatively, if jurisdictional error cannot be toppled, we should at least consider how it can be improved. </w:t>
      </w:r>
      <w:proofErr w:type="spellStart"/>
      <w:r w:rsidRPr="00962D54">
        <w:rPr>
          <w:rFonts w:cs="Arial"/>
        </w:rPr>
        <w:t>Gageler</w:t>
      </w:r>
      <w:proofErr w:type="spellEnd"/>
      <w:r w:rsidRPr="00962D54">
        <w:rPr>
          <w:rFonts w:cs="Arial"/>
        </w:rPr>
        <w:t xml:space="preserve"> has described the concept as a protean one,</w:t>
      </w:r>
      <w:r w:rsidRPr="00962D54">
        <w:rPr>
          <w:rFonts w:cs="Arial"/>
          <w:vertAlign w:val="superscript"/>
        </w:rPr>
        <w:endnoteReference w:id="203"/>
      </w:r>
      <w:r w:rsidRPr="00962D54">
        <w:rPr>
          <w:rFonts w:cs="Arial"/>
        </w:rPr>
        <w:t xml:space="preserve"> as it appears to be in a constant state of flux; this capacity for change may yet redeem the concept. As we have seen, the plurality in </w:t>
      </w:r>
      <w:r w:rsidRPr="00962D54">
        <w:rPr>
          <w:rFonts w:cs="Arial"/>
          <w:i/>
          <w:iCs/>
        </w:rPr>
        <w:t>Kirk</w:t>
      </w:r>
      <w:r w:rsidRPr="00962D54">
        <w:rPr>
          <w:rStyle w:val="EndnoteReference"/>
          <w:rFonts w:cs="Arial"/>
        </w:rPr>
        <w:endnoteReference w:id="204"/>
      </w:r>
      <w:r w:rsidRPr="00962D54">
        <w:rPr>
          <w:rFonts w:cs="Arial"/>
        </w:rPr>
        <w:t xml:space="preserve"> went to great lengths to stress that the categories of jurisdictional error are not closed, which means it is still within the High Court’s power to attribute a substantive meaning to the expression.</w:t>
      </w:r>
      <w:r w:rsidRPr="00962D54">
        <w:rPr>
          <w:rFonts w:cs="Arial"/>
          <w:vertAlign w:val="superscript"/>
        </w:rPr>
        <w:endnoteReference w:id="205"/>
      </w:r>
      <w:r w:rsidRPr="00962D54">
        <w:rPr>
          <w:rFonts w:cs="Arial"/>
        </w:rPr>
        <w:t xml:space="preserve"> This is precisely what was done (or attempted) during the 20</w:t>
      </w:r>
      <w:r w:rsidRPr="00962D54">
        <w:rPr>
          <w:rFonts w:cs="Arial"/>
          <w:vertAlign w:val="superscript"/>
        </w:rPr>
        <w:t>th</w:t>
      </w:r>
      <w:r w:rsidRPr="00962D54">
        <w:rPr>
          <w:rFonts w:cs="Arial"/>
        </w:rPr>
        <w:t xml:space="preserve"> century,</w:t>
      </w:r>
      <w:r w:rsidRPr="00962D54">
        <w:rPr>
          <w:rFonts w:cs="Arial"/>
          <w:vertAlign w:val="superscript"/>
        </w:rPr>
        <w:endnoteReference w:id="206"/>
      </w:r>
      <w:r w:rsidRPr="00962D54">
        <w:rPr>
          <w:rFonts w:cs="Arial"/>
        </w:rPr>
        <w:t xml:space="preserve"> yet as we have seen, the creation of new categories of jurisdictional error is fraught with danger, with many of the past categories now demoted to historical relics. It is important that judges only expand the concept responsibly – as their decisions in this regard will be incapable of correction by the legislature</w:t>
      </w:r>
      <w:r w:rsidRPr="00962D54">
        <w:rPr>
          <w:rFonts w:cs="Arial"/>
          <w:vertAlign w:val="superscript"/>
        </w:rPr>
        <w:endnoteReference w:id="207"/>
      </w:r>
      <w:r w:rsidRPr="00962D54">
        <w:rPr>
          <w:rFonts w:cs="Arial"/>
        </w:rPr>
        <w:t xml:space="preserve"> – and that they are careful in extending the grounds only in credible directions capable of attracting wholesale support from other present judges and their future successors.</w:t>
      </w:r>
      <w:r w:rsidRPr="00962D54">
        <w:rPr>
          <w:rFonts w:cs="Arial"/>
          <w:vertAlign w:val="superscript"/>
        </w:rPr>
        <w:endnoteReference w:id="208"/>
      </w:r>
      <w:r w:rsidRPr="00962D54">
        <w:rPr>
          <w:rFonts w:cs="Arial"/>
        </w:rPr>
        <w:t xml:space="preserve"> </w:t>
      </w:r>
      <w:r>
        <w:rPr>
          <w:rFonts w:cs="Arial"/>
        </w:rPr>
        <w:t>W</w:t>
      </w:r>
      <w:r w:rsidRPr="00962D54">
        <w:rPr>
          <w:rFonts w:cs="Arial"/>
        </w:rPr>
        <w:t>ays</w:t>
      </w:r>
      <w:r>
        <w:rPr>
          <w:rFonts w:cs="Arial"/>
        </w:rPr>
        <w:t xml:space="preserve"> in which</w:t>
      </w:r>
      <w:r w:rsidRPr="00962D54">
        <w:rPr>
          <w:rFonts w:cs="Arial"/>
        </w:rPr>
        <w:t xml:space="preserve"> this might be done </w:t>
      </w:r>
      <w:r>
        <w:rPr>
          <w:rFonts w:cs="Arial"/>
        </w:rPr>
        <w:t>are</w:t>
      </w:r>
      <w:r w:rsidRPr="00962D54">
        <w:rPr>
          <w:rFonts w:cs="Arial"/>
        </w:rPr>
        <w:t xml:space="preserve"> through so-called ‘variable intensity’ grounds of review,</w:t>
      </w:r>
      <w:r w:rsidRPr="00962D54">
        <w:rPr>
          <w:rFonts w:cs="Arial"/>
          <w:vertAlign w:val="superscript"/>
        </w:rPr>
        <w:endnoteReference w:id="209"/>
      </w:r>
      <w:r w:rsidRPr="00962D54">
        <w:rPr>
          <w:rFonts w:cs="Arial"/>
        </w:rPr>
        <w:t xml:space="preserve"> or </w:t>
      </w:r>
      <w:r>
        <w:rPr>
          <w:rFonts w:cs="Arial"/>
        </w:rPr>
        <w:t>by</w:t>
      </w:r>
      <w:r w:rsidRPr="00962D54">
        <w:rPr>
          <w:rFonts w:cs="Arial"/>
        </w:rPr>
        <w:t xml:space="preserve"> provid</w:t>
      </w:r>
      <w:r>
        <w:rPr>
          <w:rFonts w:cs="Arial"/>
        </w:rPr>
        <w:t>ing</w:t>
      </w:r>
      <w:r w:rsidRPr="00962D54">
        <w:rPr>
          <w:rFonts w:cs="Arial"/>
        </w:rPr>
        <w:t xml:space="preserve"> a potential new ground through the requirement of ‘justification of reasons’</w:t>
      </w:r>
      <w:r w:rsidRPr="00962D54">
        <w:rPr>
          <w:rFonts w:cs="Arial"/>
          <w:vertAlign w:val="superscript"/>
        </w:rPr>
        <w:endnoteReference w:id="210"/>
      </w:r>
      <w:r w:rsidRPr="00962D54">
        <w:rPr>
          <w:rFonts w:cs="Arial"/>
        </w:rPr>
        <w:t xml:space="preserve"> which, though procedural in nature, would ensure a higher quality of decision-making and a culture of justification,</w:t>
      </w:r>
      <w:r w:rsidRPr="00962D54">
        <w:rPr>
          <w:rFonts w:cs="Arial"/>
          <w:vertAlign w:val="superscript"/>
        </w:rPr>
        <w:endnoteReference w:id="211"/>
      </w:r>
      <w:r w:rsidRPr="00962D54">
        <w:rPr>
          <w:rFonts w:cs="Arial"/>
        </w:rPr>
        <w:t xml:space="preserve"> both of which Taggart (and friends) view as agreeable outcomes.     </w:t>
      </w:r>
    </w:p>
    <w:p w:rsidR="007D11A4" w:rsidRPr="00962D54" w:rsidRDefault="007D11A4" w:rsidP="007D11A4">
      <w:pPr>
        <w:spacing w:before="100" w:beforeAutospacing="1" w:after="100" w:afterAutospacing="1"/>
        <w:jc w:val="both"/>
        <w:rPr>
          <w:rFonts w:cs="Arial"/>
          <w:b/>
        </w:rPr>
      </w:pPr>
      <w:r>
        <w:rPr>
          <w:rFonts w:cs="Arial"/>
          <w:b/>
        </w:rPr>
        <w:t xml:space="preserve">IV   </w:t>
      </w:r>
      <w:r w:rsidRPr="00962D54">
        <w:rPr>
          <w:rFonts w:cs="Arial"/>
          <w:b/>
        </w:rPr>
        <w:t>Conclusion</w:t>
      </w:r>
    </w:p>
    <w:p w:rsidR="007D11A4" w:rsidRPr="00962D54" w:rsidRDefault="007D11A4" w:rsidP="007D11A4">
      <w:pPr>
        <w:spacing w:before="100" w:beforeAutospacing="1" w:after="100" w:afterAutospacing="1"/>
        <w:jc w:val="both"/>
        <w:rPr>
          <w:rFonts w:cs="Arial"/>
        </w:rPr>
      </w:pPr>
      <w:r w:rsidRPr="00962D54">
        <w:rPr>
          <w:rFonts w:cs="Arial"/>
        </w:rPr>
        <w:t xml:space="preserve">The </w:t>
      </w:r>
      <w:proofErr w:type="spellStart"/>
      <w:r w:rsidRPr="00962D54">
        <w:rPr>
          <w:rFonts w:cs="Arial"/>
        </w:rPr>
        <w:t>constitutionalisation</w:t>
      </w:r>
      <w:proofErr w:type="spellEnd"/>
      <w:r w:rsidRPr="00962D54">
        <w:rPr>
          <w:rFonts w:cs="Arial"/>
        </w:rPr>
        <w:t xml:space="preserve"> of administrative law is profoundly changing the way our accountability system operates. </w:t>
      </w:r>
      <w:r>
        <w:rPr>
          <w:rFonts w:cs="Arial"/>
        </w:rPr>
        <w:t>T</w:t>
      </w:r>
      <w:r w:rsidRPr="00962D54">
        <w:rPr>
          <w:rFonts w:cs="Arial"/>
        </w:rPr>
        <w:t xml:space="preserve">he trend has limited the scope for qualitative judicial review in that it entrenches jurisdictional error, underpinned by the separation of powers, as the unifying feature of administrative law. This in turn has been characterised as a result of the </w:t>
      </w:r>
      <w:r w:rsidRPr="00962D54">
        <w:rPr>
          <w:rFonts w:cs="Arial"/>
        </w:rPr>
        <w:lastRenderedPageBreak/>
        <w:t>‘formal’ style of reasoning prevalent in the current High Court</w:t>
      </w:r>
      <w:r>
        <w:rPr>
          <w:rFonts w:cs="Arial"/>
        </w:rPr>
        <w:t xml:space="preserve">. </w:t>
      </w:r>
      <w:r w:rsidRPr="00962D54">
        <w:rPr>
          <w:rFonts w:cs="Arial"/>
        </w:rPr>
        <w:t xml:space="preserve"> I have propos</w:t>
      </w:r>
      <w:r>
        <w:rPr>
          <w:rFonts w:cs="Arial"/>
        </w:rPr>
        <w:t>ed</w:t>
      </w:r>
      <w:r w:rsidRPr="00962D54">
        <w:rPr>
          <w:rFonts w:cs="Arial"/>
        </w:rPr>
        <w:t xml:space="preserve"> t</w:t>
      </w:r>
      <w:r>
        <w:rPr>
          <w:rFonts w:cs="Arial"/>
        </w:rPr>
        <w:t>he</w:t>
      </w:r>
      <w:r w:rsidRPr="00962D54">
        <w:rPr>
          <w:rFonts w:cs="Arial"/>
        </w:rPr>
        <w:t xml:space="preserve"> use</w:t>
      </w:r>
      <w:r>
        <w:rPr>
          <w:rFonts w:cs="Arial"/>
        </w:rPr>
        <w:t xml:space="preserve"> of</w:t>
      </w:r>
      <w:r w:rsidRPr="00962D54">
        <w:rPr>
          <w:rFonts w:cs="Arial"/>
        </w:rPr>
        <w:t xml:space="preserve"> alternative modes of interpretation in its place as a way to circumvent the </w:t>
      </w:r>
      <w:r>
        <w:rPr>
          <w:rFonts w:cs="Arial"/>
        </w:rPr>
        <w:t>‘</w:t>
      </w:r>
      <w:r w:rsidRPr="00962D54">
        <w:rPr>
          <w:rFonts w:cs="Arial"/>
        </w:rPr>
        <w:t>dead end</w:t>
      </w:r>
      <w:r>
        <w:rPr>
          <w:rFonts w:cs="Arial"/>
        </w:rPr>
        <w:t>’</w:t>
      </w:r>
      <w:r w:rsidRPr="00962D54">
        <w:rPr>
          <w:rFonts w:cs="Arial"/>
        </w:rPr>
        <w:t xml:space="preserve"> conclusions at which we are arriving.</w:t>
      </w:r>
    </w:p>
    <w:p w:rsidR="00E425A9" w:rsidRDefault="007D11A4" w:rsidP="007D11A4">
      <w:pPr>
        <w:autoSpaceDE w:val="0"/>
        <w:autoSpaceDN w:val="0"/>
        <w:adjustRightInd w:val="0"/>
        <w:spacing w:before="100" w:beforeAutospacing="1" w:after="100" w:afterAutospacing="1"/>
        <w:jc w:val="both"/>
        <w:rPr>
          <w:rFonts w:cs="Arial"/>
          <w:color w:val="000000"/>
        </w:rPr>
      </w:pPr>
      <w:r>
        <w:rPr>
          <w:rFonts w:cs="Arial"/>
        </w:rPr>
        <w:t>T</w:t>
      </w:r>
      <w:r w:rsidRPr="00962D54">
        <w:rPr>
          <w:rFonts w:cs="Arial"/>
        </w:rPr>
        <w:t xml:space="preserve">he foregoing analysis is not intended to be a comprehensive roadmap to how we might deal with the challenge of the </w:t>
      </w:r>
      <w:proofErr w:type="spellStart"/>
      <w:r w:rsidRPr="00962D54">
        <w:rPr>
          <w:rFonts w:cs="Arial"/>
        </w:rPr>
        <w:t>constitutionalisation</w:t>
      </w:r>
      <w:proofErr w:type="spellEnd"/>
      <w:r w:rsidRPr="00962D54">
        <w:rPr>
          <w:rFonts w:cs="Arial"/>
        </w:rPr>
        <w:t xml:space="preserve"> of administrative law</w:t>
      </w:r>
      <w:r>
        <w:rPr>
          <w:rFonts w:cs="Arial"/>
        </w:rPr>
        <w:t>,</w:t>
      </w:r>
      <w:r w:rsidRPr="00962D54">
        <w:rPr>
          <w:rFonts w:cs="Arial"/>
        </w:rPr>
        <w:t xml:space="preserve"> </w:t>
      </w:r>
      <w:r>
        <w:rPr>
          <w:rFonts w:cs="Arial"/>
        </w:rPr>
        <w:t>i</w:t>
      </w:r>
      <w:r w:rsidRPr="00962D54">
        <w:rPr>
          <w:rFonts w:cs="Arial"/>
        </w:rPr>
        <w:t xml:space="preserve">t is simply an appeal for us to move beyond the fatalism implicit in much of the analysis to date, and actively </w:t>
      </w:r>
      <w:r>
        <w:rPr>
          <w:rFonts w:cs="Arial"/>
        </w:rPr>
        <w:t xml:space="preserve">to </w:t>
      </w:r>
      <w:r w:rsidRPr="00962D54">
        <w:rPr>
          <w:rFonts w:cs="Arial"/>
        </w:rPr>
        <w:t xml:space="preserve">seek new interpretive approaches that might tackle the issues of jurisdictional error, the prohibition on qualitative judicial review, and the technical and remedy-focussed nature of section 75(v). There is an endless variety of ways </w:t>
      </w:r>
      <w:r>
        <w:rPr>
          <w:rFonts w:cs="Arial"/>
        </w:rPr>
        <w:t xml:space="preserve">in which </w:t>
      </w:r>
      <w:r w:rsidRPr="00962D54">
        <w:rPr>
          <w:rFonts w:cs="Arial"/>
        </w:rPr>
        <w:t>this could be done</w:t>
      </w:r>
      <w:r>
        <w:rPr>
          <w:rFonts w:cs="Arial"/>
        </w:rPr>
        <w:t>.</w:t>
      </w:r>
      <w:r w:rsidRPr="00962D54">
        <w:rPr>
          <w:rStyle w:val="EndnoteReference"/>
          <w:rFonts w:cs="Arial"/>
        </w:rPr>
        <w:endnoteReference w:id="212"/>
      </w:r>
    </w:p>
    <w:p w:rsidR="009F528F" w:rsidRPr="009F528F" w:rsidRDefault="009F528F" w:rsidP="009F528F">
      <w:pPr>
        <w:pStyle w:val="Number"/>
        <w:numPr>
          <w:ilvl w:val="0"/>
          <w:numId w:val="0"/>
        </w:numPr>
        <w:spacing w:before="100" w:beforeAutospacing="1" w:after="100" w:afterAutospacing="1" w:line="240" w:lineRule="auto"/>
        <w:rPr>
          <w:rFonts w:ascii="Arial" w:hAnsi="Arial" w:cs="Arial"/>
          <w:b/>
          <w:sz w:val="18"/>
          <w:szCs w:val="22"/>
        </w:rPr>
      </w:pPr>
      <w:r>
        <w:rPr>
          <w:rFonts w:ascii="Arial" w:hAnsi="Arial" w:cs="Arial"/>
          <w:b/>
          <w:sz w:val="18"/>
          <w:szCs w:val="22"/>
        </w:rPr>
        <w:t>Endnotes</w:t>
      </w:r>
    </w:p>
    <w:sectPr w:rsidR="009F528F" w:rsidRPr="009F528F" w:rsidSect="007D11A4">
      <w:headerReference w:type="default" r:id="rId9"/>
      <w:footerReference w:type="default" r:id="rId10"/>
      <w:endnotePr>
        <w:numFmt w:val="decimal"/>
      </w:endnotePr>
      <w:type w:val="continuous"/>
      <w:pgSz w:w="11907" w:h="16840" w:code="9"/>
      <w:pgMar w:top="1440" w:right="1440" w:bottom="1440" w:left="1440" w:header="720" w:footer="720" w:gutter="0"/>
      <w:pgNumType w:start="76"/>
      <w:cols w:space="720" w:equalWidth="0">
        <w:col w:w="9027"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05" w:rsidRDefault="00382805">
      <w:pPr>
        <w:pStyle w:val="Footer"/>
        <w:rPr>
          <w:sz w:val="2"/>
        </w:rPr>
      </w:pPr>
    </w:p>
  </w:endnote>
  <w:endnote w:type="continuationSeparator" w:id="0">
    <w:p w:rsidR="00382805" w:rsidRDefault="00382805">
      <w:pPr>
        <w:pStyle w:val="Footer"/>
        <w:rPr>
          <w:sz w:val="2"/>
        </w:rPr>
      </w:pPr>
    </w:p>
  </w:endnote>
  <w:endnote w:type="continuationNotice" w:id="1">
    <w:p w:rsidR="00382805" w:rsidRDefault="00382805">
      <w:pPr>
        <w:rPr>
          <w:sz w:val="2"/>
        </w:rPr>
      </w:pPr>
    </w:p>
  </w:endnote>
  <w:endnote w:id="2">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I am indebted to Anthony Mason, who used this quip to describe his enthusiasm for errors of law on the face of the record: </w:t>
      </w:r>
      <w:r w:rsidR="00507A93">
        <w:rPr>
          <w:rFonts w:cs="Arial"/>
          <w:sz w:val="18"/>
          <w:szCs w:val="18"/>
        </w:rPr>
        <w:t xml:space="preserve">A </w:t>
      </w:r>
      <w:r w:rsidRPr="007D11A4">
        <w:rPr>
          <w:rFonts w:cs="Arial"/>
          <w:sz w:val="18"/>
          <w:szCs w:val="18"/>
        </w:rPr>
        <w:t>Mason</w:t>
      </w:r>
      <w:r w:rsidR="00507A93">
        <w:rPr>
          <w:rFonts w:cs="Arial"/>
          <w:sz w:val="18"/>
          <w:szCs w:val="18"/>
        </w:rPr>
        <w:t>,</w:t>
      </w:r>
      <w:r w:rsidRPr="007D11A4">
        <w:rPr>
          <w:rFonts w:cs="Arial"/>
          <w:sz w:val="18"/>
          <w:szCs w:val="18"/>
        </w:rPr>
        <w:t xml:space="preserve"> ‘The Contribution of Sir Gerard Brennan’ in R </w:t>
      </w:r>
      <w:proofErr w:type="spellStart"/>
      <w:r w:rsidRPr="007D11A4">
        <w:rPr>
          <w:rFonts w:cs="Arial"/>
          <w:sz w:val="18"/>
          <w:szCs w:val="18"/>
        </w:rPr>
        <w:t>Creyke</w:t>
      </w:r>
      <w:proofErr w:type="spellEnd"/>
      <w:r w:rsidRPr="007D11A4">
        <w:rPr>
          <w:rFonts w:cs="Arial"/>
          <w:sz w:val="18"/>
          <w:szCs w:val="18"/>
        </w:rPr>
        <w:t xml:space="preserve"> and P </w:t>
      </w:r>
      <w:proofErr w:type="spellStart"/>
      <w:r w:rsidRPr="007D11A4">
        <w:rPr>
          <w:rFonts w:cs="Arial"/>
          <w:sz w:val="18"/>
          <w:szCs w:val="18"/>
        </w:rPr>
        <w:t>Keyzer</w:t>
      </w:r>
      <w:proofErr w:type="spellEnd"/>
      <w:r w:rsidRPr="007D11A4">
        <w:rPr>
          <w:rFonts w:cs="Arial"/>
          <w:sz w:val="18"/>
          <w:szCs w:val="18"/>
        </w:rPr>
        <w:t xml:space="preserve"> (</w:t>
      </w:r>
      <w:proofErr w:type="spellStart"/>
      <w:r w:rsidRPr="007D11A4">
        <w:rPr>
          <w:rFonts w:cs="Arial"/>
          <w:sz w:val="18"/>
          <w:szCs w:val="18"/>
        </w:rPr>
        <w:t>eds</w:t>
      </w:r>
      <w:proofErr w:type="spellEnd"/>
      <w:r w:rsidRPr="007D11A4">
        <w:rPr>
          <w:rFonts w:cs="Arial"/>
          <w:sz w:val="18"/>
          <w:szCs w:val="18"/>
        </w:rPr>
        <w:t xml:space="preserve">), </w:t>
      </w:r>
      <w:r w:rsidRPr="007D11A4">
        <w:rPr>
          <w:rFonts w:cs="Arial"/>
          <w:i/>
          <w:iCs/>
          <w:sz w:val="18"/>
          <w:szCs w:val="18"/>
        </w:rPr>
        <w:t>The Brennan Legacy: Blowing the Winds of Legal Orthodoxy</w:t>
      </w:r>
      <w:r w:rsidR="00507A93">
        <w:rPr>
          <w:rFonts w:cs="Arial"/>
          <w:sz w:val="18"/>
          <w:szCs w:val="18"/>
        </w:rPr>
        <w:t xml:space="preserve"> (</w:t>
      </w:r>
      <w:r w:rsidRPr="007D11A4">
        <w:rPr>
          <w:rFonts w:cs="Arial"/>
          <w:sz w:val="18"/>
          <w:szCs w:val="18"/>
        </w:rPr>
        <w:t>Federation Press, 2002) 38.</w:t>
      </w:r>
    </w:p>
  </w:endnote>
  <w:endnote w:id="3">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M Groves, ‘Federal Constitutional Influences on State Judicial Review’ (2011) 39 </w:t>
      </w:r>
      <w:r w:rsidRPr="007D11A4">
        <w:rPr>
          <w:rFonts w:cs="Arial"/>
          <w:i/>
          <w:iCs/>
          <w:sz w:val="18"/>
          <w:szCs w:val="18"/>
        </w:rPr>
        <w:t>Federal Law Review</w:t>
      </w:r>
      <w:r w:rsidRPr="007D11A4">
        <w:rPr>
          <w:rFonts w:cs="Arial"/>
          <w:sz w:val="18"/>
          <w:szCs w:val="18"/>
        </w:rPr>
        <w:t xml:space="preserve"> 399.</w:t>
      </w:r>
    </w:p>
  </w:endnote>
  <w:endnote w:id="4">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N </w:t>
      </w:r>
      <w:proofErr w:type="spellStart"/>
      <w:r w:rsidRPr="007D11A4">
        <w:rPr>
          <w:rFonts w:cs="Arial"/>
          <w:sz w:val="18"/>
          <w:szCs w:val="18"/>
        </w:rPr>
        <w:t>Perram</w:t>
      </w:r>
      <w:proofErr w:type="spellEnd"/>
      <w:r w:rsidRPr="007D11A4">
        <w:rPr>
          <w:rFonts w:cs="Arial"/>
          <w:sz w:val="18"/>
          <w:szCs w:val="18"/>
        </w:rPr>
        <w:t xml:space="preserve">, ‘Comments: Speech to Government Solicitors’ Conference’ (2010) 21 </w:t>
      </w:r>
      <w:r w:rsidRPr="007D11A4">
        <w:rPr>
          <w:rFonts w:cs="Arial"/>
          <w:i/>
          <w:iCs/>
          <w:sz w:val="18"/>
          <w:szCs w:val="18"/>
        </w:rPr>
        <w:t>Public Law Review</w:t>
      </w:r>
      <w:r w:rsidRPr="007D11A4">
        <w:rPr>
          <w:rFonts w:cs="Arial"/>
          <w:sz w:val="18"/>
          <w:szCs w:val="18"/>
        </w:rPr>
        <w:t xml:space="preserve"> 223, 225.</w:t>
      </w:r>
    </w:p>
  </w:endnote>
  <w:endnote w:id="5">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See M Taggart ‘Australian </w:t>
      </w:r>
      <w:proofErr w:type="spellStart"/>
      <w:r w:rsidRPr="007D11A4">
        <w:rPr>
          <w:rFonts w:cs="Arial"/>
          <w:sz w:val="18"/>
          <w:szCs w:val="18"/>
        </w:rPr>
        <w:t>Exceptionalism</w:t>
      </w:r>
      <w:proofErr w:type="spellEnd"/>
      <w:r w:rsidRPr="007D11A4">
        <w:rPr>
          <w:rFonts w:cs="Arial"/>
          <w:sz w:val="18"/>
          <w:szCs w:val="18"/>
        </w:rPr>
        <w:t xml:space="preserve"> in Judicial Review’ (2008) 36 </w:t>
      </w:r>
      <w:r w:rsidRPr="007D11A4">
        <w:rPr>
          <w:rFonts w:cs="Arial"/>
          <w:i/>
          <w:iCs/>
          <w:sz w:val="18"/>
          <w:szCs w:val="18"/>
        </w:rPr>
        <w:t>Federal Law Review</w:t>
      </w:r>
      <w:r w:rsidRPr="007D11A4">
        <w:rPr>
          <w:rFonts w:cs="Arial"/>
          <w:sz w:val="18"/>
          <w:szCs w:val="18"/>
        </w:rPr>
        <w:t xml:space="preserve"> 1, 2.</w:t>
      </w:r>
    </w:p>
  </w:endnote>
  <w:endnote w:id="6">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J McMillan ‘The Academic Contribution to Australian Administrative Law’ (2001) 8 </w:t>
      </w:r>
      <w:r w:rsidRPr="007D11A4">
        <w:rPr>
          <w:rFonts w:cs="Arial"/>
          <w:i/>
          <w:iCs/>
          <w:sz w:val="18"/>
          <w:szCs w:val="18"/>
        </w:rPr>
        <w:t>Australian Journal of Administrative Law</w:t>
      </w:r>
      <w:r w:rsidRPr="007D11A4">
        <w:rPr>
          <w:rFonts w:cs="Arial"/>
          <w:sz w:val="18"/>
          <w:szCs w:val="18"/>
        </w:rPr>
        <w:t xml:space="preserve"> 214, 217; J McMillan </w:t>
      </w:r>
      <w:proofErr w:type="spellStart"/>
      <w:r w:rsidRPr="007D11A4">
        <w:rPr>
          <w:rFonts w:cs="Arial"/>
          <w:sz w:val="18"/>
          <w:szCs w:val="18"/>
        </w:rPr>
        <w:t>'Re</w:t>
      </w:r>
      <w:proofErr w:type="spellEnd"/>
      <w:r w:rsidRPr="007D11A4">
        <w:rPr>
          <w:rFonts w:cs="Arial"/>
          <w:sz w:val="18"/>
          <w:szCs w:val="18"/>
        </w:rPr>
        <w:t xml:space="preserve">-thinking the Separation of Powers' (2010) 38 </w:t>
      </w:r>
      <w:r w:rsidRPr="007D11A4">
        <w:rPr>
          <w:rFonts w:cs="Arial"/>
          <w:i/>
          <w:sz w:val="18"/>
          <w:szCs w:val="18"/>
        </w:rPr>
        <w:t>Federal Law Review</w:t>
      </w:r>
      <w:r w:rsidRPr="007D11A4">
        <w:rPr>
          <w:rFonts w:cs="Arial"/>
          <w:sz w:val="18"/>
          <w:szCs w:val="18"/>
        </w:rPr>
        <w:t xml:space="preserve"> 423.</w:t>
      </w:r>
      <w:proofErr w:type="gramEnd"/>
    </w:p>
  </w:endnote>
  <w:endnote w:id="7">
    <w:p w:rsidR="007D11A4" w:rsidRPr="007D11A4" w:rsidRDefault="007D11A4" w:rsidP="00507A93">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R Snell ‘Towards an Understanding of a Constitutional Misfit: Four Snapshots of the Ombudsman Enigma’ in C</w:t>
      </w:r>
      <w:r w:rsidR="00507A93">
        <w:rPr>
          <w:rFonts w:cs="Arial"/>
          <w:sz w:val="18"/>
          <w:szCs w:val="18"/>
        </w:rPr>
        <w:t xml:space="preserve"> </w:t>
      </w:r>
      <w:r w:rsidRPr="007D11A4">
        <w:rPr>
          <w:rFonts w:cs="Arial"/>
          <w:sz w:val="18"/>
          <w:szCs w:val="18"/>
        </w:rPr>
        <w:t>Finn (</w:t>
      </w:r>
      <w:proofErr w:type="spellStart"/>
      <w:proofErr w:type="gramStart"/>
      <w:r w:rsidRPr="007D11A4">
        <w:rPr>
          <w:rFonts w:cs="Arial"/>
          <w:sz w:val="18"/>
          <w:szCs w:val="18"/>
        </w:rPr>
        <w:t>ed</w:t>
      </w:r>
      <w:proofErr w:type="spellEnd"/>
      <w:proofErr w:type="gramEnd"/>
      <w:r w:rsidRPr="007D11A4">
        <w:rPr>
          <w:rFonts w:cs="Arial"/>
          <w:sz w:val="18"/>
          <w:szCs w:val="18"/>
        </w:rPr>
        <w:t xml:space="preserve">), </w:t>
      </w:r>
      <w:r w:rsidRPr="007D11A4">
        <w:rPr>
          <w:rFonts w:cs="Arial"/>
          <w:i/>
          <w:iCs/>
          <w:sz w:val="18"/>
          <w:szCs w:val="18"/>
        </w:rPr>
        <w:t xml:space="preserve">Sunrise or Sunset? </w:t>
      </w:r>
      <w:proofErr w:type="gramStart"/>
      <w:r w:rsidRPr="007D11A4">
        <w:rPr>
          <w:rFonts w:cs="Arial"/>
          <w:i/>
          <w:iCs/>
          <w:sz w:val="18"/>
          <w:szCs w:val="18"/>
        </w:rPr>
        <w:t>Administrative Law for the New Millennium</w:t>
      </w:r>
      <w:r w:rsidRPr="007D11A4">
        <w:rPr>
          <w:rFonts w:cs="Arial"/>
          <w:sz w:val="18"/>
          <w:szCs w:val="18"/>
        </w:rPr>
        <w:t xml:space="preserve"> (2000) 188.</w:t>
      </w:r>
      <w:proofErr w:type="gramEnd"/>
    </w:p>
  </w:endnote>
  <w:endnote w:id="8">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See Taggart, above n 4, 3. See also S De Smith, </w:t>
      </w:r>
      <w:r w:rsidRPr="007D11A4">
        <w:rPr>
          <w:rFonts w:cs="Arial"/>
          <w:i/>
          <w:iCs/>
          <w:sz w:val="18"/>
          <w:szCs w:val="18"/>
        </w:rPr>
        <w:t>Judicial Review of Administrative Action</w:t>
      </w:r>
      <w:r w:rsidR="00507A93">
        <w:rPr>
          <w:rFonts w:cs="Arial"/>
          <w:sz w:val="18"/>
          <w:szCs w:val="18"/>
        </w:rPr>
        <w:t xml:space="preserve"> (Stevens &amp; Sons</w:t>
      </w:r>
      <w:r w:rsidRPr="007D11A4">
        <w:rPr>
          <w:rFonts w:cs="Arial"/>
          <w:sz w:val="18"/>
          <w:szCs w:val="18"/>
        </w:rPr>
        <w:t>, 1959) 3, which describes the role of judicial institutions in the administrative process as ‘inevitably sporadic and peripheral’.</w:t>
      </w:r>
    </w:p>
  </w:endnote>
  <w:endnote w:id="9">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Though this topic also has its scholars.</w:t>
      </w:r>
      <w:proofErr w:type="gramEnd"/>
      <w:r w:rsidRPr="007D11A4">
        <w:rPr>
          <w:rFonts w:cs="Arial"/>
          <w:sz w:val="18"/>
          <w:szCs w:val="18"/>
        </w:rPr>
        <w:t xml:space="preserve"> See J Webber, ‘Constitutional Reticence’ (2000) 25 </w:t>
      </w:r>
      <w:r w:rsidRPr="007D11A4">
        <w:rPr>
          <w:rFonts w:cs="Arial"/>
          <w:i/>
          <w:iCs/>
          <w:sz w:val="18"/>
          <w:szCs w:val="18"/>
        </w:rPr>
        <w:t>Australian Journal of Legal Philosophy</w:t>
      </w:r>
      <w:r w:rsidRPr="007D11A4">
        <w:rPr>
          <w:rFonts w:cs="Arial"/>
          <w:sz w:val="18"/>
          <w:szCs w:val="18"/>
        </w:rPr>
        <w:t xml:space="preserve"> 125; P </w:t>
      </w:r>
      <w:proofErr w:type="spellStart"/>
      <w:r w:rsidRPr="007D11A4">
        <w:rPr>
          <w:rFonts w:cs="Arial"/>
          <w:sz w:val="18"/>
          <w:szCs w:val="18"/>
        </w:rPr>
        <w:t>Kildea</w:t>
      </w:r>
      <w:proofErr w:type="spellEnd"/>
      <w:r w:rsidRPr="007D11A4">
        <w:rPr>
          <w:rFonts w:cs="Arial"/>
          <w:sz w:val="18"/>
          <w:szCs w:val="18"/>
        </w:rPr>
        <w:t xml:space="preserve">, 'Rewriting the Federation through Referendum' in P </w:t>
      </w:r>
      <w:proofErr w:type="spellStart"/>
      <w:r w:rsidRPr="007D11A4">
        <w:rPr>
          <w:rFonts w:cs="Arial"/>
          <w:sz w:val="18"/>
          <w:szCs w:val="18"/>
        </w:rPr>
        <w:t>Kildea</w:t>
      </w:r>
      <w:proofErr w:type="spellEnd"/>
      <w:r w:rsidRPr="007D11A4">
        <w:rPr>
          <w:rFonts w:cs="Arial"/>
          <w:sz w:val="18"/>
          <w:szCs w:val="18"/>
        </w:rPr>
        <w:t>, A Lynch and G Williams (</w:t>
      </w:r>
      <w:proofErr w:type="spellStart"/>
      <w:r w:rsidRPr="007D11A4">
        <w:rPr>
          <w:rFonts w:cs="Arial"/>
          <w:sz w:val="18"/>
          <w:szCs w:val="18"/>
        </w:rPr>
        <w:t>eds</w:t>
      </w:r>
      <w:proofErr w:type="spellEnd"/>
      <w:r w:rsidRPr="007D11A4">
        <w:rPr>
          <w:rFonts w:cs="Arial"/>
          <w:sz w:val="18"/>
          <w:szCs w:val="18"/>
        </w:rPr>
        <w:t xml:space="preserve">), </w:t>
      </w:r>
      <w:r w:rsidRPr="007D11A4">
        <w:rPr>
          <w:rFonts w:cs="Arial"/>
          <w:i/>
          <w:iCs/>
          <w:sz w:val="18"/>
          <w:szCs w:val="18"/>
        </w:rPr>
        <w:t>Tomorrow’s Federation</w:t>
      </w:r>
      <w:r w:rsidRPr="007D11A4">
        <w:rPr>
          <w:rFonts w:cs="Arial"/>
          <w:sz w:val="18"/>
          <w:szCs w:val="18"/>
        </w:rPr>
        <w:t>,</w:t>
      </w:r>
      <w:r w:rsidR="00507A93">
        <w:rPr>
          <w:rFonts w:cs="Arial"/>
          <w:sz w:val="18"/>
          <w:szCs w:val="18"/>
        </w:rPr>
        <w:t xml:space="preserve"> (</w:t>
      </w:r>
      <w:r w:rsidRPr="007D11A4">
        <w:rPr>
          <w:rFonts w:cs="Arial"/>
          <w:sz w:val="18"/>
          <w:szCs w:val="18"/>
        </w:rPr>
        <w:t>Federation Press, 2012), 294-309.</w:t>
      </w:r>
    </w:p>
  </w:endnote>
  <w:endnote w:id="10">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G Hill and A Stone, ‘The </w:t>
      </w:r>
      <w:proofErr w:type="spellStart"/>
      <w:r w:rsidRPr="007D11A4">
        <w:rPr>
          <w:rFonts w:cs="Arial"/>
          <w:sz w:val="18"/>
          <w:szCs w:val="18"/>
        </w:rPr>
        <w:t>Constitutionalisation</w:t>
      </w:r>
      <w:proofErr w:type="spellEnd"/>
      <w:r w:rsidRPr="007D11A4">
        <w:rPr>
          <w:rFonts w:cs="Arial"/>
          <w:sz w:val="18"/>
          <w:szCs w:val="18"/>
        </w:rPr>
        <w:t xml:space="preserve"> of the Common Law’ (2004) 25 </w:t>
      </w:r>
      <w:r w:rsidRPr="007D11A4">
        <w:rPr>
          <w:rFonts w:cs="Arial"/>
          <w:i/>
          <w:iCs/>
          <w:sz w:val="18"/>
          <w:szCs w:val="18"/>
        </w:rPr>
        <w:t>Adelaide Law Review</w:t>
      </w:r>
      <w:r w:rsidRPr="007D11A4">
        <w:rPr>
          <w:rFonts w:cs="Arial"/>
          <w:sz w:val="18"/>
          <w:szCs w:val="18"/>
        </w:rPr>
        <w:t xml:space="preserve"> 67, 70–1.</w:t>
      </w:r>
      <w:proofErr w:type="gramEnd"/>
    </w:p>
  </w:endnote>
  <w:endnote w:id="11">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i/>
          <w:iCs/>
          <w:sz w:val="18"/>
          <w:szCs w:val="18"/>
        </w:rPr>
        <w:t>Kirk v Industrial Relations Commission (NSW)</w:t>
      </w:r>
      <w:r w:rsidRPr="007D11A4">
        <w:rPr>
          <w:rFonts w:cs="Arial"/>
          <w:sz w:val="18"/>
          <w:szCs w:val="18"/>
        </w:rPr>
        <w:t xml:space="preserve"> (</w:t>
      </w:r>
      <w:r w:rsidRPr="007D11A4">
        <w:rPr>
          <w:rFonts w:cs="Arial"/>
          <w:i/>
          <w:iCs/>
          <w:sz w:val="18"/>
          <w:szCs w:val="18"/>
        </w:rPr>
        <w:t>Kirk</w:t>
      </w:r>
      <w:r w:rsidRPr="007D11A4">
        <w:rPr>
          <w:rFonts w:cs="Arial"/>
          <w:sz w:val="18"/>
          <w:szCs w:val="18"/>
        </w:rPr>
        <w:t>) (2010) 239 CLR 531.</w:t>
      </w:r>
    </w:p>
  </w:endnote>
  <w:endnote w:id="12">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I Holloway, </w:t>
      </w:r>
      <w:r w:rsidRPr="007D11A4">
        <w:rPr>
          <w:rFonts w:cs="Arial"/>
          <w:i/>
          <w:iCs/>
          <w:sz w:val="18"/>
          <w:szCs w:val="18"/>
        </w:rPr>
        <w:t>Natural Justice and the High Court of Australia</w:t>
      </w:r>
      <w:r w:rsidRPr="007D11A4">
        <w:rPr>
          <w:rFonts w:cs="Arial"/>
          <w:sz w:val="18"/>
          <w:szCs w:val="18"/>
        </w:rPr>
        <w:t>, (Aldershot</w:t>
      </w:r>
      <w:r w:rsidR="003168E2">
        <w:rPr>
          <w:rFonts w:cs="Arial"/>
          <w:sz w:val="18"/>
          <w:szCs w:val="18"/>
        </w:rPr>
        <w:t>,</w:t>
      </w:r>
      <w:r w:rsidRPr="007D11A4">
        <w:rPr>
          <w:rFonts w:cs="Arial"/>
          <w:sz w:val="18"/>
          <w:szCs w:val="18"/>
        </w:rPr>
        <w:t xml:space="preserve"> 2002) </w:t>
      </w:r>
      <w:proofErr w:type="spellStart"/>
      <w:r w:rsidRPr="007D11A4">
        <w:rPr>
          <w:rFonts w:cs="Arial"/>
          <w:sz w:val="18"/>
          <w:szCs w:val="18"/>
        </w:rPr>
        <w:t>Chs</w:t>
      </w:r>
      <w:proofErr w:type="spellEnd"/>
      <w:r w:rsidRPr="007D11A4">
        <w:rPr>
          <w:rFonts w:cs="Arial"/>
          <w:sz w:val="18"/>
          <w:szCs w:val="18"/>
        </w:rPr>
        <w:t xml:space="preserve"> 1–4.</w:t>
      </w:r>
    </w:p>
  </w:endnote>
  <w:endnote w:id="13">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Eg</w:t>
      </w:r>
      <w:proofErr w:type="spellEnd"/>
      <w:r w:rsidRPr="007D11A4">
        <w:rPr>
          <w:rFonts w:cs="Arial"/>
          <w:sz w:val="18"/>
          <w:szCs w:val="18"/>
        </w:rPr>
        <w:t xml:space="preserve"> regarding common law and statutory mandamus, </w:t>
      </w:r>
      <w:r w:rsidRPr="007D11A4">
        <w:rPr>
          <w:rFonts w:cs="Arial"/>
          <w:i/>
          <w:iCs/>
          <w:sz w:val="18"/>
          <w:szCs w:val="18"/>
        </w:rPr>
        <w:t xml:space="preserve">Royal Insurance Co Ltd v </w:t>
      </w:r>
      <w:proofErr w:type="spellStart"/>
      <w:r w:rsidRPr="007D11A4">
        <w:rPr>
          <w:rFonts w:cs="Arial"/>
          <w:i/>
          <w:iCs/>
          <w:sz w:val="18"/>
          <w:szCs w:val="18"/>
        </w:rPr>
        <w:t>Mylius</w:t>
      </w:r>
      <w:proofErr w:type="spellEnd"/>
      <w:r w:rsidRPr="007D11A4">
        <w:rPr>
          <w:rFonts w:cs="Arial"/>
          <w:sz w:val="18"/>
          <w:szCs w:val="18"/>
        </w:rPr>
        <w:t xml:space="preserve"> (1926) 38 CLR 477.</w:t>
      </w:r>
      <w:proofErr w:type="gramEnd"/>
    </w:p>
  </w:endnote>
  <w:endnote w:id="14">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S </w:t>
      </w:r>
      <w:proofErr w:type="spellStart"/>
      <w:r w:rsidRPr="007D11A4">
        <w:rPr>
          <w:rFonts w:cs="Arial"/>
          <w:sz w:val="18"/>
          <w:szCs w:val="18"/>
        </w:rPr>
        <w:t>Gageler</w:t>
      </w:r>
      <w:proofErr w:type="spellEnd"/>
      <w:r w:rsidRPr="007D11A4">
        <w:rPr>
          <w:rFonts w:cs="Arial"/>
          <w:sz w:val="18"/>
          <w:szCs w:val="18"/>
        </w:rPr>
        <w:t xml:space="preserve">, ‘The </w:t>
      </w:r>
      <w:proofErr w:type="spellStart"/>
      <w:r w:rsidRPr="007D11A4">
        <w:rPr>
          <w:rFonts w:cs="Arial"/>
          <w:sz w:val="18"/>
          <w:szCs w:val="18"/>
        </w:rPr>
        <w:t>Constitutionalisation</w:t>
      </w:r>
      <w:proofErr w:type="spellEnd"/>
      <w:r w:rsidRPr="007D11A4">
        <w:rPr>
          <w:rFonts w:cs="Arial"/>
          <w:sz w:val="18"/>
          <w:szCs w:val="18"/>
        </w:rPr>
        <w:t xml:space="preserve"> of Australian Administrative Law’, speech presented at the University of New England, 14 March 2011.</w:t>
      </w:r>
      <w:proofErr w:type="gramEnd"/>
    </w:p>
  </w:endnote>
  <w:endnote w:id="15">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P Cane, ‘The Making of Australian Administrative Law’ (2003) 24 </w:t>
      </w:r>
      <w:r w:rsidRPr="007D11A4">
        <w:rPr>
          <w:rFonts w:cs="Arial"/>
          <w:i/>
          <w:iCs/>
          <w:sz w:val="18"/>
          <w:szCs w:val="18"/>
        </w:rPr>
        <w:t>Australian Bar Review</w:t>
      </w:r>
      <w:r w:rsidRPr="007D11A4">
        <w:rPr>
          <w:rFonts w:cs="Arial"/>
          <w:sz w:val="18"/>
          <w:szCs w:val="18"/>
        </w:rPr>
        <w:t xml:space="preserve"> 114, 120.</w:t>
      </w:r>
      <w:proofErr w:type="gramEnd"/>
    </w:p>
  </w:endnote>
  <w:endnote w:id="16">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See for example, </w:t>
      </w:r>
      <w:r w:rsidRPr="007D11A4">
        <w:rPr>
          <w:rFonts w:cs="Arial"/>
          <w:i/>
          <w:iCs/>
          <w:sz w:val="18"/>
          <w:szCs w:val="18"/>
        </w:rPr>
        <w:t xml:space="preserve">R v War Pensions Entitlement Appeal Tribunal; </w:t>
      </w:r>
      <w:proofErr w:type="gramStart"/>
      <w:r w:rsidRPr="007D11A4">
        <w:rPr>
          <w:rFonts w:cs="Arial"/>
          <w:i/>
          <w:iCs/>
          <w:sz w:val="18"/>
          <w:szCs w:val="18"/>
        </w:rPr>
        <w:t>Ex</w:t>
      </w:r>
      <w:proofErr w:type="gramEnd"/>
      <w:r w:rsidRPr="007D11A4">
        <w:rPr>
          <w:rFonts w:cs="Arial"/>
          <w:i/>
          <w:iCs/>
          <w:sz w:val="18"/>
          <w:szCs w:val="18"/>
        </w:rPr>
        <w:t xml:space="preserve"> parte </w:t>
      </w:r>
      <w:proofErr w:type="spellStart"/>
      <w:r w:rsidRPr="007D11A4">
        <w:rPr>
          <w:rFonts w:cs="Arial"/>
          <w:i/>
          <w:iCs/>
          <w:sz w:val="18"/>
          <w:szCs w:val="18"/>
        </w:rPr>
        <w:t>Bott</w:t>
      </w:r>
      <w:proofErr w:type="spellEnd"/>
      <w:r w:rsidRPr="007D11A4">
        <w:rPr>
          <w:rFonts w:cs="Arial"/>
          <w:sz w:val="18"/>
          <w:szCs w:val="18"/>
        </w:rPr>
        <w:t xml:space="preserve"> (1933) 50 CLR 228, 242–3.</w:t>
      </w:r>
    </w:p>
  </w:endnote>
  <w:endnote w:id="17">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See Commonwealth Administrative Review Committee, </w:t>
      </w:r>
      <w:r w:rsidRPr="007D11A4">
        <w:rPr>
          <w:rFonts w:cs="Arial"/>
          <w:i/>
          <w:iCs/>
          <w:sz w:val="18"/>
          <w:szCs w:val="18"/>
        </w:rPr>
        <w:t>Commonwealth Administrative Review Committee Report</w:t>
      </w:r>
      <w:r w:rsidRPr="007D11A4">
        <w:rPr>
          <w:rFonts w:cs="Arial"/>
          <w:sz w:val="18"/>
          <w:szCs w:val="18"/>
        </w:rPr>
        <w:t xml:space="preserve">, Parliament of the Commonwealth of Australia Paper No 144 (Kerr Committee Report) (1971), </w:t>
      </w:r>
      <w:proofErr w:type="spellStart"/>
      <w:r w:rsidRPr="007D11A4">
        <w:rPr>
          <w:rFonts w:cs="Arial"/>
          <w:sz w:val="18"/>
          <w:szCs w:val="18"/>
        </w:rPr>
        <w:t>Ch</w:t>
      </w:r>
      <w:proofErr w:type="spellEnd"/>
      <w:r w:rsidRPr="007D11A4">
        <w:rPr>
          <w:rFonts w:cs="Arial"/>
          <w:sz w:val="18"/>
          <w:szCs w:val="18"/>
        </w:rPr>
        <w:t xml:space="preserve"> 12.</w:t>
      </w:r>
      <w:proofErr w:type="gramEnd"/>
    </w:p>
  </w:endnote>
  <w:endnote w:id="18">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Recommendations were also made to define what jurisdiction the Commonwealth Superior Court should exercise in reviewing administrative decisions and the procedure by which review is to be obtained. See Cane, above n 14, 121.</w:t>
      </w:r>
    </w:p>
  </w:endnote>
  <w:endnote w:id="19">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Cane, above n 14, 124.</w:t>
      </w:r>
      <w:proofErr w:type="gramEnd"/>
    </w:p>
  </w:endnote>
  <w:endnote w:id="20">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An export of Lord Denning’s.</w:t>
      </w:r>
      <w:proofErr w:type="gramEnd"/>
      <w:r w:rsidRPr="007D11A4">
        <w:rPr>
          <w:rFonts w:cs="Arial"/>
          <w:sz w:val="18"/>
          <w:szCs w:val="18"/>
        </w:rPr>
        <w:t xml:space="preserve"> See </w:t>
      </w:r>
      <w:r w:rsidRPr="007D11A4">
        <w:rPr>
          <w:rFonts w:cs="Arial"/>
          <w:i/>
          <w:iCs/>
          <w:sz w:val="18"/>
          <w:szCs w:val="18"/>
        </w:rPr>
        <w:t>Schmidt v Secretary of State for Home Affairs</w:t>
      </w:r>
      <w:r w:rsidRPr="007D11A4">
        <w:rPr>
          <w:rFonts w:cs="Arial"/>
          <w:sz w:val="18"/>
          <w:szCs w:val="18"/>
        </w:rPr>
        <w:t xml:space="preserve"> [1969] 2 </w:t>
      </w:r>
      <w:proofErr w:type="spellStart"/>
      <w:r w:rsidRPr="007D11A4">
        <w:rPr>
          <w:rFonts w:cs="Arial"/>
          <w:sz w:val="18"/>
          <w:szCs w:val="18"/>
        </w:rPr>
        <w:t>Ch</w:t>
      </w:r>
      <w:proofErr w:type="spellEnd"/>
      <w:r w:rsidRPr="007D11A4">
        <w:rPr>
          <w:rFonts w:cs="Arial"/>
          <w:sz w:val="18"/>
          <w:szCs w:val="18"/>
        </w:rPr>
        <w:t xml:space="preserve"> 149.</w:t>
      </w:r>
    </w:p>
  </w:endnote>
  <w:endnote w:id="21">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The blame – or gratitude – for this trend is normally given to Sir Anthony Mason, who served on the High Court from 1972–1995, and was Chief Justice for the last eight years of this</w:t>
      </w:r>
      <w:r w:rsidR="003168E2">
        <w:rPr>
          <w:rFonts w:cs="Arial"/>
          <w:sz w:val="18"/>
          <w:szCs w:val="18"/>
        </w:rPr>
        <w:t xml:space="preserve"> period</w:t>
      </w:r>
      <w:r w:rsidRPr="007D11A4">
        <w:rPr>
          <w:rFonts w:cs="Arial"/>
          <w:sz w:val="18"/>
          <w:szCs w:val="18"/>
        </w:rPr>
        <w:t xml:space="preserve">: W </w:t>
      </w:r>
      <w:proofErr w:type="spellStart"/>
      <w:r w:rsidRPr="007D11A4">
        <w:rPr>
          <w:rFonts w:cs="Arial"/>
          <w:sz w:val="18"/>
          <w:szCs w:val="18"/>
        </w:rPr>
        <w:t>Gummow</w:t>
      </w:r>
      <w:proofErr w:type="spellEnd"/>
      <w:r w:rsidRPr="007D11A4">
        <w:rPr>
          <w:rFonts w:cs="Arial"/>
          <w:sz w:val="18"/>
          <w:szCs w:val="18"/>
        </w:rPr>
        <w:t xml:space="preserve">,‘The Permanent Legacy’ (2000) 28 </w:t>
      </w:r>
      <w:r w:rsidRPr="007D11A4">
        <w:rPr>
          <w:rFonts w:cs="Arial"/>
          <w:i/>
          <w:iCs/>
          <w:sz w:val="18"/>
          <w:szCs w:val="18"/>
        </w:rPr>
        <w:t>Federal Law Review</w:t>
      </w:r>
      <w:r w:rsidRPr="007D11A4">
        <w:rPr>
          <w:rFonts w:cs="Arial"/>
          <w:sz w:val="18"/>
          <w:szCs w:val="18"/>
        </w:rPr>
        <w:t xml:space="preserve"> 177, 186.</w:t>
      </w:r>
    </w:p>
  </w:endnote>
  <w:endnote w:id="22">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S </w:t>
      </w:r>
      <w:proofErr w:type="spellStart"/>
      <w:r w:rsidRPr="007D11A4">
        <w:rPr>
          <w:rFonts w:cs="Arial"/>
          <w:sz w:val="18"/>
          <w:szCs w:val="18"/>
        </w:rPr>
        <w:t>Gageler</w:t>
      </w:r>
      <w:proofErr w:type="spellEnd"/>
      <w:r w:rsidRPr="007D11A4">
        <w:rPr>
          <w:rFonts w:cs="Arial"/>
          <w:sz w:val="18"/>
          <w:szCs w:val="18"/>
        </w:rPr>
        <w:t xml:space="preserve">, ‘Impact of Migration Law on the Development of Australian Administrative Law’ (2010) 17 </w:t>
      </w:r>
      <w:r w:rsidRPr="007D11A4">
        <w:rPr>
          <w:rFonts w:cs="Arial"/>
          <w:i/>
          <w:iCs/>
          <w:sz w:val="18"/>
          <w:szCs w:val="18"/>
        </w:rPr>
        <w:t>Australian Journal of Administrative Law</w:t>
      </w:r>
      <w:r w:rsidRPr="007D11A4">
        <w:rPr>
          <w:rFonts w:cs="Arial"/>
          <w:sz w:val="18"/>
          <w:szCs w:val="18"/>
        </w:rPr>
        <w:t xml:space="preserve"> 92, 95.</w:t>
      </w:r>
    </w:p>
  </w:endnote>
  <w:endnote w:id="23">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D Jackson, ‘Development of Judicial Review in Australia over the Last 10 Years: The Growth of the Constitutional Writs’ (2004) 12 </w:t>
      </w:r>
      <w:r w:rsidRPr="007D11A4">
        <w:rPr>
          <w:rFonts w:cs="Arial"/>
          <w:i/>
          <w:iCs/>
          <w:sz w:val="18"/>
          <w:szCs w:val="18"/>
        </w:rPr>
        <w:t>Australian Journal of Administrative Law</w:t>
      </w:r>
      <w:r w:rsidRPr="007D11A4">
        <w:rPr>
          <w:rFonts w:cs="Arial"/>
          <w:sz w:val="18"/>
          <w:szCs w:val="18"/>
        </w:rPr>
        <w:t xml:space="preserve"> 22, 25–6.</w:t>
      </w:r>
    </w:p>
  </w:endnote>
  <w:endnote w:id="24">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S </w:t>
      </w:r>
      <w:proofErr w:type="spellStart"/>
      <w:r w:rsidRPr="007D11A4">
        <w:rPr>
          <w:rFonts w:cs="Arial"/>
          <w:sz w:val="18"/>
          <w:szCs w:val="18"/>
        </w:rPr>
        <w:t>Gageler</w:t>
      </w:r>
      <w:proofErr w:type="spellEnd"/>
      <w:r w:rsidRPr="007D11A4">
        <w:rPr>
          <w:rFonts w:cs="Arial"/>
          <w:sz w:val="18"/>
          <w:szCs w:val="18"/>
        </w:rPr>
        <w:t>, above n 21, 96.</w:t>
      </w:r>
      <w:proofErr w:type="gramEnd"/>
    </w:p>
  </w:endnote>
  <w:endnote w:id="25">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See </w:t>
      </w:r>
      <w:r w:rsidRPr="007D11A4">
        <w:rPr>
          <w:rFonts w:cs="Arial"/>
          <w:i/>
          <w:iCs/>
          <w:sz w:val="18"/>
          <w:szCs w:val="18"/>
        </w:rPr>
        <w:t>Migration Legislation Amendment Act 1989</w:t>
      </w:r>
      <w:r w:rsidRPr="007D11A4">
        <w:rPr>
          <w:rFonts w:cs="Arial"/>
          <w:sz w:val="18"/>
          <w:szCs w:val="18"/>
        </w:rPr>
        <w:t xml:space="preserve"> (</w:t>
      </w:r>
      <w:proofErr w:type="spellStart"/>
      <w:r w:rsidRPr="007D11A4">
        <w:rPr>
          <w:rFonts w:cs="Arial"/>
          <w:sz w:val="18"/>
          <w:szCs w:val="18"/>
        </w:rPr>
        <w:t>Cth</w:t>
      </w:r>
      <w:proofErr w:type="spellEnd"/>
      <w:r w:rsidRPr="007D11A4">
        <w:rPr>
          <w:rFonts w:cs="Arial"/>
          <w:sz w:val="18"/>
          <w:szCs w:val="18"/>
        </w:rPr>
        <w:t xml:space="preserve">), and </w:t>
      </w:r>
      <w:r w:rsidRPr="007D11A4">
        <w:rPr>
          <w:rFonts w:cs="Arial"/>
          <w:i/>
          <w:iCs/>
          <w:sz w:val="18"/>
          <w:szCs w:val="18"/>
        </w:rPr>
        <w:t>Migration Reform Act 1992</w:t>
      </w:r>
      <w:r w:rsidRPr="007D11A4">
        <w:rPr>
          <w:rFonts w:cs="Arial"/>
          <w:sz w:val="18"/>
          <w:szCs w:val="18"/>
        </w:rPr>
        <w:t xml:space="preserve"> (</w:t>
      </w:r>
      <w:proofErr w:type="spellStart"/>
      <w:r w:rsidRPr="007D11A4">
        <w:rPr>
          <w:rFonts w:cs="Arial"/>
          <w:sz w:val="18"/>
          <w:szCs w:val="18"/>
        </w:rPr>
        <w:t>Cth</w:t>
      </w:r>
      <w:proofErr w:type="spellEnd"/>
      <w:r w:rsidRPr="007D11A4">
        <w:rPr>
          <w:rFonts w:cs="Arial"/>
          <w:sz w:val="18"/>
          <w:szCs w:val="18"/>
        </w:rPr>
        <w:t>).</w:t>
      </w:r>
    </w:p>
  </w:endnote>
  <w:endnote w:id="26">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See for example, </w:t>
      </w:r>
      <w:r w:rsidRPr="007D11A4">
        <w:rPr>
          <w:rFonts w:cs="Arial"/>
          <w:i/>
          <w:iCs/>
          <w:sz w:val="18"/>
          <w:szCs w:val="18"/>
        </w:rPr>
        <w:t xml:space="preserve">Australian Broadcasting Tribunal v Bond &amp; </w:t>
      </w:r>
      <w:proofErr w:type="spellStart"/>
      <w:r w:rsidRPr="007D11A4">
        <w:rPr>
          <w:rFonts w:cs="Arial"/>
          <w:i/>
          <w:iCs/>
          <w:sz w:val="18"/>
          <w:szCs w:val="18"/>
        </w:rPr>
        <w:t>Ors</w:t>
      </w:r>
      <w:proofErr w:type="spellEnd"/>
      <w:r w:rsidRPr="007D11A4">
        <w:rPr>
          <w:rFonts w:cs="Arial"/>
          <w:sz w:val="18"/>
          <w:szCs w:val="18"/>
        </w:rPr>
        <w:t xml:space="preserve"> (1990) 170 CLR 321.</w:t>
      </w:r>
    </w:p>
  </w:endnote>
  <w:endnote w:id="27">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Gageler</w:t>
      </w:r>
      <w:proofErr w:type="spellEnd"/>
      <w:r w:rsidRPr="007D11A4">
        <w:rPr>
          <w:rFonts w:cs="Arial"/>
          <w:sz w:val="18"/>
          <w:szCs w:val="18"/>
        </w:rPr>
        <w:t>, above n 13.</w:t>
      </w:r>
      <w:proofErr w:type="gramEnd"/>
    </w:p>
  </w:endnote>
  <w:endnote w:id="28">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This is also the reason that Roger Wilkins AO, Secretary, Commonwealth Department of Attorney-General</w:t>
      </w:r>
      <w:proofErr w:type="gramStart"/>
      <w:r w:rsidRPr="007D11A4">
        <w:rPr>
          <w:rFonts w:cs="Arial"/>
          <w:sz w:val="18"/>
          <w:szCs w:val="18"/>
        </w:rPr>
        <w:t>,  has</w:t>
      </w:r>
      <w:proofErr w:type="gramEnd"/>
      <w:r w:rsidRPr="007D11A4">
        <w:rPr>
          <w:rFonts w:cs="Arial"/>
          <w:sz w:val="18"/>
          <w:szCs w:val="18"/>
        </w:rPr>
        <w:t xml:space="preserve"> recently advocated for the total repeal of the </w:t>
      </w:r>
      <w:r w:rsidRPr="007D11A4">
        <w:rPr>
          <w:rFonts w:cs="Arial"/>
          <w:i/>
          <w:sz w:val="18"/>
          <w:szCs w:val="18"/>
        </w:rPr>
        <w:t>ADJR Act</w:t>
      </w:r>
      <w:r w:rsidRPr="007D11A4">
        <w:rPr>
          <w:rFonts w:cs="Arial"/>
          <w:sz w:val="18"/>
          <w:szCs w:val="18"/>
        </w:rPr>
        <w:t>: Administrative Review Council, ‘Federal Judicial Review in Australia’, (September 2012), Appendix A, pp195– 200.</w:t>
      </w:r>
    </w:p>
  </w:endnote>
  <w:endnote w:id="29">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 xml:space="preserve">Attorney General (NSW) v Quin </w:t>
      </w:r>
      <w:r w:rsidRPr="007D11A4">
        <w:rPr>
          <w:rFonts w:cs="Arial"/>
          <w:sz w:val="18"/>
          <w:szCs w:val="18"/>
        </w:rPr>
        <w:t>(</w:t>
      </w:r>
      <w:r w:rsidRPr="007D11A4">
        <w:rPr>
          <w:rFonts w:cs="Arial"/>
          <w:i/>
          <w:iCs/>
          <w:sz w:val="18"/>
          <w:szCs w:val="18"/>
        </w:rPr>
        <w:t>Quin</w:t>
      </w:r>
      <w:r w:rsidRPr="007D11A4">
        <w:rPr>
          <w:rFonts w:cs="Arial"/>
          <w:sz w:val="18"/>
          <w:szCs w:val="18"/>
        </w:rPr>
        <w:t>) (1990) 170 CLR 1.</w:t>
      </w:r>
      <w:proofErr w:type="gramEnd"/>
    </w:p>
  </w:endnote>
  <w:endnote w:id="30">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(1803) 1 </w:t>
      </w:r>
      <w:proofErr w:type="spellStart"/>
      <w:r w:rsidRPr="007D11A4">
        <w:rPr>
          <w:rFonts w:cs="Arial"/>
          <w:sz w:val="18"/>
          <w:szCs w:val="18"/>
        </w:rPr>
        <w:t>Cranch</w:t>
      </w:r>
      <w:proofErr w:type="spellEnd"/>
      <w:r w:rsidRPr="007D11A4">
        <w:rPr>
          <w:rFonts w:cs="Arial"/>
          <w:sz w:val="18"/>
          <w:szCs w:val="18"/>
        </w:rPr>
        <w:t xml:space="preserve"> 137, 177.</w:t>
      </w:r>
      <w:proofErr w:type="gramEnd"/>
    </w:p>
  </w:endnote>
  <w:endnote w:id="31">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Quin</w:t>
      </w:r>
      <w:r w:rsidRPr="007D11A4">
        <w:rPr>
          <w:rFonts w:cs="Arial"/>
          <w:sz w:val="18"/>
          <w:szCs w:val="18"/>
        </w:rPr>
        <w:t xml:space="preserve"> (1990) 170 CLR 1, 35–6.</w:t>
      </w:r>
      <w:proofErr w:type="gramEnd"/>
    </w:p>
  </w:endnote>
  <w:endnote w:id="32">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S </w:t>
      </w:r>
      <w:proofErr w:type="spellStart"/>
      <w:r w:rsidRPr="007D11A4">
        <w:rPr>
          <w:rFonts w:cs="Arial"/>
          <w:sz w:val="18"/>
          <w:szCs w:val="18"/>
        </w:rPr>
        <w:t>Gageler</w:t>
      </w:r>
      <w:proofErr w:type="spellEnd"/>
      <w:r w:rsidRPr="007D11A4">
        <w:rPr>
          <w:rFonts w:cs="Arial"/>
          <w:sz w:val="18"/>
          <w:szCs w:val="18"/>
        </w:rPr>
        <w:t xml:space="preserve">, ‘Sir Gerard Brennan and Some Themes in Judicial Review’ in R </w:t>
      </w:r>
      <w:proofErr w:type="spellStart"/>
      <w:r w:rsidRPr="007D11A4">
        <w:rPr>
          <w:rFonts w:cs="Arial"/>
          <w:sz w:val="18"/>
          <w:szCs w:val="18"/>
        </w:rPr>
        <w:t>Creyke</w:t>
      </w:r>
      <w:proofErr w:type="spellEnd"/>
      <w:r w:rsidRPr="007D11A4">
        <w:rPr>
          <w:rFonts w:cs="Arial"/>
          <w:sz w:val="18"/>
          <w:szCs w:val="18"/>
        </w:rPr>
        <w:t xml:space="preserve"> and P </w:t>
      </w:r>
      <w:proofErr w:type="spellStart"/>
      <w:r w:rsidRPr="007D11A4">
        <w:rPr>
          <w:rFonts w:cs="Arial"/>
          <w:sz w:val="18"/>
          <w:szCs w:val="18"/>
        </w:rPr>
        <w:t>Keyzer</w:t>
      </w:r>
      <w:proofErr w:type="spellEnd"/>
      <w:r w:rsidRPr="007D11A4">
        <w:rPr>
          <w:rFonts w:cs="Arial"/>
          <w:sz w:val="18"/>
          <w:szCs w:val="18"/>
        </w:rPr>
        <w:t xml:space="preserve"> (</w:t>
      </w:r>
      <w:proofErr w:type="spellStart"/>
      <w:proofErr w:type="gramStart"/>
      <w:r w:rsidRPr="007D11A4">
        <w:rPr>
          <w:rFonts w:cs="Arial"/>
          <w:sz w:val="18"/>
          <w:szCs w:val="18"/>
        </w:rPr>
        <w:t>eds</w:t>
      </w:r>
      <w:proofErr w:type="spellEnd"/>
      <w:proofErr w:type="gramEnd"/>
      <w:r w:rsidRPr="007D11A4">
        <w:rPr>
          <w:rFonts w:cs="Arial"/>
          <w:sz w:val="18"/>
          <w:szCs w:val="18"/>
        </w:rPr>
        <w:t xml:space="preserve">), </w:t>
      </w:r>
      <w:r w:rsidRPr="007D11A4">
        <w:rPr>
          <w:rFonts w:cs="Arial"/>
          <w:i/>
          <w:iCs/>
          <w:sz w:val="18"/>
          <w:szCs w:val="18"/>
        </w:rPr>
        <w:t>The Brennan Legacy: Blowing the Winds of Legal Orthodoxy</w:t>
      </w:r>
      <w:r w:rsidRPr="007D11A4">
        <w:rPr>
          <w:rFonts w:cs="Arial"/>
          <w:sz w:val="18"/>
          <w:szCs w:val="18"/>
        </w:rPr>
        <w:t xml:space="preserve"> (The Federation Press, 2002) 62, 63.</w:t>
      </w:r>
    </w:p>
  </w:endnote>
  <w:endnote w:id="33">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Groves, above n 2, 401 and see G Weeks, ‘Achieving Public Law Goals through Private Law Means: Is This Social Justice?’ (2012) </w:t>
      </w:r>
      <w:r w:rsidRPr="007D11A4">
        <w:rPr>
          <w:rFonts w:cs="Arial"/>
          <w:i/>
          <w:iCs/>
          <w:sz w:val="18"/>
          <w:szCs w:val="18"/>
        </w:rPr>
        <w:t>Court of Conscience</w:t>
      </w:r>
      <w:r w:rsidRPr="007D11A4">
        <w:rPr>
          <w:rFonts w:cs="Arial"/>
          <w:sz w:val="18"/>
          <w:szCs w:val="18"/>
        </w:rPr>
        <w:t xml:space="preserve"> 51, 52–3: ‘The remedies do not give a substantive result to a successful applicant, but… merely a remedy which… prevents invalidity’.</w:t>
      </w:r>
    </w:p>
  </w:endnote>
  <w:endnote w:id="34">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See </w:t>
      </w:r>
      <w:proofErr w:type="spellStart"/>
      <w:r w:rsidRPr="007D11A4">
        <w:rPr>
          <w:rFonts w:cs="Arial"/>
          <w:sz w:val="18"/>
          <w:szCs w:val="18"/>
        </w:rPr>
        <w:t>Gageler</w:t>
      </w:r>
      <w:proofErr w:type="spellEnd"/>
      <w:r w:rsidRPr="007D11A4">
        <w:rPr>
          <w:rFonts w:cs="Arial"/>
          <w:sz w:val="18"/>
          <w:szCs w:val="18"/>
        </w:rPr>
        <w:t xml:space="preserve">, above n 13: and for an example of Justice Brennan’s doctrinal ‘warm-up’ to </w:t>
      </w:r>
      <w:r w:rsidRPr="007D11A4">
        <w:rPr>
          <w:rFonts w:cs="Arial"/>
          <w:i/>
          <w:iCs/>
          <w:sz w:val="18"/>
          <w:szCs w:val="18"/>
        </w:rPr>
        <w:t>Quin</w:t>
      </w:r>
      <w:r w:rsidRPr="007D11A4">
        <w:rPr>
          <w:rFonts w:cs="Arial"/>
          <w:sz w:val="18"/>
          <w:szCs w:val="18"/>
        </w:rPr>
        <w:t xml:space="preserve">, see </w:t>
      </w:r>
      <w:r w:rsidRPr="007D11A4">
        <w:rPr>
          <w:rFonts w:cs="Arial"/>
          <w:i/>
          <w:iCs/>
          <w:sz w:val="18"/>
          <w:szCs w:val="18"/>
        </w:rPr>
        <w:t>Church of Scientology v Woodward</w:t>
      </w:r>
      <w:r w:rsidRPr="007D11A4">
        <w:rPr>
          <w:rFonts w:cs="Arial"/>
          <w:sz w:val="18"/>
          <w:szCs w:val="18"/>
        </w:rPr>
        <w:t xml:space="preserve"> (1982) 154 CLR 25, 70.</w:t>
      </w:r>
    </w:p>
  </w:endnote>
  <w:endnote w:id="35">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Groves, above n 2, 401.</w:t>
      </w:r>
      <w:proofErr w:type="gramEnd"/>
    </w:p>
  </w:endnote>
  <w:endnote w:id="36">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i/>
          <w:iCs/>
          <w:sz w:val="18"/>
          <w:szCs w:val="18"/>
        </w:rPr>
        <w:t xml:space="preserve">Re Refugee Review Tribunal; </w:t>
      </w:r>
      <w:proofErr w:type="gramStart"/>
      <w:r w:rsidRPr="007D11A4">
        <w:rPr>
          <w:rFonts w:cs="Arial"/>
          <w:i/>
          <w:iCs/>
          <w:sz w:val="18"/>
          <w:szCs w:val="18"/>
        </w:rPr>
        <w:t>Ex</w:t>
      </w:r>
      <w:proofErr w:type="gramEnd"/>
      <w:r w:rsidRPr="007D11A4">
        <w:rPr>
          <w:rFonts w:cs="Arial"/>
          <w:i/>
          <w:iCs/>
          <w:sz w:val="18"/>
          <w:szCs w:val="18"/>
        </w:rPr>
        <w:t xml:space="preserve"> parte </w:t>
      </w:r>
      <w:proofErr w:type="spellStart"/>
      <w:r w:rsidRPr="007D11A4">
        <w:rPr>
          <w:rFonts w:cs="Arial"/>
          <w:i/>
          <w:iCs/>
          <w:sz w:val="18"/>
          <w:szCs w:val="18"/>
        </w:rPr>
        <w:t>Aala</w:t>
      </w:r>
      <w:proofErr w:type="spellEnd"/>
      <w:r w:rsidRPr="007D11A4">
        <w:rPr>
          <w:rFonts w:cs="Arial"/>
          <w:i/>
          <w:iCs/>
          <w:sz w:val="18"/>
          <w:szCs w:val="18"/>
        </w:rPr>
        <w:t xml:space="preserve"> </w:t>
      </w:r>
      <w:r w:rsidRPr="007D11A4">
        <w:rPr>
          <w:rFonts w:cs="Arial"/>
          <w:sz w:val="18"/>
          <w:szCs w:val="18"/>
        </w:rPr>
        <w:t>(2000) 204 CLR 82.</w:t>
      </w:r>
    </w:p>
  </w:endnote>
  <w:endnote w:id="37">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Gageler</w:t>
      </w:r>
      <w:proofErr w:type="spellEnd"/>
      <w:r w:rsidRPr="007D11A4">
        <w:rPr>
          <w:rFonts w:cs="Arial"/>
          <w:sz w:val="18"/>
          <w:szCs w:val="18"/>
        </w:rPr>
        <w:t>, above n 21, 100.</w:t>
      </w:r>
      <w:proofErr w:type="gramEnd"/>
    </w:p>
  </w:endnote>
  <w:endnote w:id="38">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Ibid.</w:t>
      </w:r>
    </w:p>
  </w:endnote>
  <w:endnote w:id="39">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M Aronson, B Dyer and M Groves</w:t>
      </w:r>
      <w:proofErr w:type="gramStart"/>
      <w:r w:rsidRPr="007D11A4">
        <w:rPr>
          <w:rFonts w:cs="Arial"/>
          <w:sz w:val="18"/>
          <w:szCs w:val="18"/>
        </w:rPr>
        <w:t xml:space="preserve">,  </w:t>
      </w:r>
      <w:r w:rsidRPr="007D11A4">
        <w:rPr>
          <w:rFonts w:cs="Arial"/>
          <w:i/>
          <w:iCs/>
          <w:sz w:val="18"/>
          <w:szCs w:val="18"/>
        </w:rPr>
        <w:t>Judicial</w:t>
      </w:r>
      <w:proofErr w:type="gramEnd"/>
      <w:r w:rsidRPr="007D11A4">
        <w:rPr>
          <w:rFonts w:cs="Arial"/>
          <w:i/>
          <w:iCs/>
          <w:sz w:val="18"/>
          <w:szCs w:val="18"/>
        </w:rPr>
        <w:t xml:space="preserve"> Review of Administrative Action</w:t>
      </w:r>
      <w:r w:rsidRPr="007D11A4">
        <w:rPr>
          <w:rFonts w:cs="Arial"/>
          <w:sz w:val="18"/>
          <w:szCs w:val="18"/>
        </w:rPr>
        <w:t xml:space="preserve">, (4th </w:t>
      </w:r>
      <w:proofErr w:type="spellStart"/>
      <w:r w:rsidRPr="007D11A4">
        <w:rPr>
          <w:rFonts w:cs="Arial"/>
          <w:sz w:val="18"/>
          <w:szCs w:val="18"/>
        </w:rPr>
        <w:t>ed</w:t>
      </w:r>
      <w:proofErr w:type="spellEnd"/>
      <w:r w:rsidRPr="007D11A4">
        <w:rPr>
          <w:rFonts w:cs="Arial"/>
          <w:sz w:val="18"/>
          <w:szCs w:val="18"/>
        </w:rPr>
        <w:t>), (</w:t>
      </w:r>
      <w:proofErr w:type="spellStart"/>
      <w:r w:rsidRPr="007D11A4">
        <w:rPr>
          <w:rFonts w:cs="Arial"/>
          <w:sz w:val="18"/>
          <w:szCs w:val="18"/>
        </w:rPr>
        <w:t>Lawbook</w:t>
      </w:r>
      <w:proofErr w:type="spellEnd"/>
      <w:r w:rsidRPr="007D11A4">
        <w:rPr>
          <w:rFonts w:cs="Arial"/>
          <w:sz w:val="18"/>
          <w:szCs w:val="18"/>
        </w:rPr>
        <w:t xml:space="preserve"> Co, 2009) 33.</w:t>
      </w:r>
    </w:p>
  </w:endnote>
  <w:endnote w:id="40">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Gageler</w:t>
      </w:r>
      <w:proofErr w:type="spellEnd"/>
      <w:r w:rsidRPr="007D11A4">
        <w:rPr>
          <w:rFonts w:cs="Arial"/>
          <w:sz w:val="18"/>
          <w:szCs w:val="18"/>
        </w:rPr>
        <w:t>, above n 21, 100.</w:t>
      </w:r>
      <w:proofErr w:type="gramEnd"/>
    </w:p>
  </w:endnote>
  <w:endnote w:id="41">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Cane, above n 14, 125.</w:t>
      </w:r>
      <w:proofErr w:type="gramEnd"/>
    </w:p>
  </w:endnote>
  <w:endnote w:id="42">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Ibid.</w:t>
      </w:r>
    </w:p>
  </w:endnote>
  <w:endnote w:id="43">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Plaintiff S157/2002</w:t>
      </w:r>
      <w:r w:rsidRPr="007D11A4">
        <w:rPr>
          <w:rFonts w:cs="Arial"/>
          <w:sz w:val="18"/>
          <w:szCs w:val="18"/>
        </w:rPr>
        <w:t xml:space="preserve"> </w:t>
      </w:r>
      <w:r w:rsidRPr="007D11A4">
        <w:rPr>
          <w:rFonts w:cs="Arial"/>
          <w:i/>
          <w:iCs/>
          <w:sz w:val="18"/>
          <w:szCs w:val="18"/>
        </w:rPr>
        <w:t>v Commonwealth of Australia</w:t>
      </w:r>
      <w:r w:rsidRPr="007D11A4">
        <w:rPr>
          <w:rFonts w:cs="Arial"/>
          <w:sz w:val="18"/>
          <w:szCs w:val="18"/>
        </w:rPr>
        <w:t xml:space="preserve"> (2003) 211 CLR 476.</w:t>
      </w:r>
      <w:proofErr w:type="gramEnd"/>
    </w:p>
  </w:endnote>
  <w:endnote w:id="44">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i/>
          <w:iCs/>
          <w:sz w:val="18"/>
          <w:szCs w:val="18"/>
        </w:rPr>
        <w:t>Abebe</w:t>
      </w:r>
      <w:proofErr w:type="spellEnd"/>
      <w:r w:rsidRPr="007D11A4">
        <w:rPr>
          <w:rFonts w:cs="Arial"/>
          <w:i/>
          <w:iCs/>
          <w:sz w:val="18"/>
          <w:szCs w:val="18"/>
        </w:rPr>
        <w:t xml:space="preserve"> v Commonwealth</w:t>
      </w:r>
      <w:r w:rsidRPr="007D11A4">
        <w:rPr>
          <w:rFonts w:cs="Arial"/>
          <w:sz w:val="18"/>
          <w:szCs w:val="18"/>
        </w:rPr>
        <w:t xml:space="preserve"> (1999) 197 CLR 510.</w:t>
      </w:r>
      <w:proofErr w:type="gramEnd"/>
    </w:p>
  </w:endnote>
  <w:endnote w:id="45">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Cane, above n 14, 127.</w:t>
      </w:r>
      <w:proofErr w:type="gramEnd"/>
      <w:r w:rsidRPr="007D11A4">
        <w:rPr>
          <w:rFonts w:cs="Arial"/>
          <w:sz w:val="18"/>
          <w:szCs w:val="18"/>
        </w:rPr>
        <w:t xml:space="preserve"> Indeed, up until the 2000s, privative clauses generally enjoyed a fairly generous treatment from the High Court, as seen for example in the </w:t>
      </w:r>
      <w:r w:rsidRPr="007D11A4">
        <w:rPr>
          <w:rFonts w:cs="Arial"/>
          <w:i/>
          <w:iCs/>
          <w:sz w:val="18"/>
          <w:szCs w:val="18"/>
        </w:rPr>
        <w:t xml:space="preserve">Hickman </w:t>
      </w:r>
      <w:r w:rsidRPr="007D11A4">
        <w:rPr>
          <w:rFonts w:cs="Arial"/>
          <w:sz w:val="18"/>
          <w:szCs w:val="18"/>
        </w:rPr>
        <w:t xml:space="preserve">principle: </w:t>
      </w:r>
      <w:r w:rsidRPr="007D11A4">
        <w:rPr>
          <w:rFonts w:cs="Arial"/>
          <w:i/>
          <w:iCs/>
          <w:sz w:val="18"/>
          <w:szCs w:val="18"/>
        </w:rPr>
        <w:t>R v Hickman; Ex parte Fox and Clinton</w:t>
      </w:r>
      <w:r w:rsidRPr="007D11A4">
        <w:rPr>
          <w:rFonts w:cs="Arial"/>
          <w:sz w:val="18"/>
          <w:szCs w:val="18"/>
        </w:rPr>
        <w:t xml:space="preserve"> (1945) 70 CLR 598; </w:t>
      </w:r>
      <w:r w:rsidRPr="007D11A4">
        <w:rPr>
          <w:rFonts w:cs="Arial"/>
          <w:i/>
          <w:iCs/>
          <w:sz w:val="18"/>
          <w:szCs w:val="18"/>
        </w:rPr>
        <w:t>Darling Casino Ltd v New South Wales Casino Control Authority</w:t>
      </w:r>
      <w:r w:rsidRPr="007D11A4">
        <w:rPr>
          <w:rFonts w:cs="Arial"/>
          <w:sz w:val="18"/>
          <w:szCs w:val="18"/>
        </w:rPr>
        <w:t xml:space="preserve"> (1997) 191 CLR 602, 631.</w:t>
      </w:r>
    </w:p>
  </w:endnote>
  <w:endnote w:id="46">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Plaintiff S157/2002</w:t>
      </w:r>
      <w:r w:rsidRPr="007D11A4">
        <w:rPr>
          <w:rFonts w:cs="Arial"/>
          <w:sz w:val="18"/>
          <w:szCs w:val="18"/>
        </w:rPr>
        <w:t xml:space="preserve"> (2003) 211 CLR 476, 513 [103].</w:t>
      </w:r>
      <w:proofErr w:type="gramEnd"/>
    </w:p>
  </w:endnote>
  <w:endnote w:id="47">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Kirk v Industrial Relations Commission (NSW)</w:t>
      </w:r>
      <w:r w:rsidRPr="007D11A4">
        <w:rPr>
          <w:rFonts w:cs="Arial"/>
          <w:sz w:val="18"/>
          <w:szCs w:val="18"/>
        </w:rPr>
        <w:t xml:space="preserve"> (2010) 239 CLR 531.</w:t>
      </w:r>
      <w:proofErr w:type="gramEnd"/>
    </w:p>
  </w:endnote>
  <w:endnote w:id="48">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Subject, again, to the </w:t>
      </w:r>
      <w:r w:rsidRPr="007D11A4">
        <w:rPr>
          <w:rFonts w:cs="Arial"/>
          <w:i/>
          <w:iCs/>
          <w:sz w:val="18"/>
          <w:szCs w:val="18"/>
        </w:rPr>
        <w:t>Hickman</w:t>
      </w:r>
      <w:r w:rsidRPr="007D11A4">
        <w:rPr>
          <w:rFonts w:cs="Arial"/>
          <w:sz w:val="18"/>
          <w:szCs w:val="18"/>
        </w:rPr>
        <w:t xml:space="preserve"> principle. See R Sackville, ‘The </w:t>
      </w:r>
      <w:proofErr w:type="spellStart"/>
      <w:r w:rsidRPr="007D11A4">
        <w:rPr>
          <w:rFonts w:cs="Arial"/>
          <w:sz w:val="18"/>
          <w:szCs w:val="18"/>
        </w:rPr>
        <w:t>Constitutionalisation</w:t>
      </w:r>
      <w:proofErr w:type="spellEnd"/>
      <w:r w:rsidRPr="007D11A4">
        <w:rPr>
          <w:rFonts w:cs="Arial"/>
          <w:sz w:val="18"/>
          <w:szCs w:val="18"/>
        </w:rPr>
        <w:t xml:space="preserve"> of State Administrative Law’ (2012) 19 </w:t>
      </w:r>
      <w:r w:rsidRPr="007D11A4">
        <w:rPr>
          <w:rFonts w:cs="Arial"/>
          <w:i/>
          <w:iCs/>
          <w:sz w:val="18"/>
          <w:szCs w:val="18"/>
        </w:rPr>
        <w:t>Australian Journal of Administrative Law</w:t>
      </w:r>
      <w:r w:rsidRPr="007D11A4">
        <w:rPr>
          <w:rFonts w:cs="Arial"/>
          <w:sz w:val="18"/>
          <w:szCs w:val="18"/>
        </w:rPr>
        <w:t xml:space="preserve"> 127, 128; see also above n 44.</w:t>
      </w:r>
    </w:p>
  </w:endnote>
  <w:endnote w:id="49">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Kirk</w:t>
      </w:r>
      <w:r w:rsidRPr="007D11A4">
        <w:rPr>
          <w:rFonts w:cs="Arial"/>
          <w:sz w:val="18"/>
          <w:szCs w:val="18"/>
        </w:rPr>
        <w:t xml:space="preserve"> (2010) 239 CLR 531, 580–1.</w:t>
      </w:r>
      <w:proofErr w:type="gramEnd"/>
    </w:p>
  </w:endnote>
  <w:endnote w:id="50">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Gageler</w:t>
      </w:r>
      <w:proofErr w:type="spellEnd"/>
      <w:r w:rsidRPr="007D11A4">
        <w:rPr>
          <w:rFonts w:cs="Arial"/>
          <w:sz w:val="18"/>
          <w:szCs w:val="18"/>
        </w:rPr>
        <w:t>, above n 13.</w:t>
      </w:r>
      <w:proofErr w:type="gramEnd"/>
    </w:p>
  </w:endnote>
  <w:endnote w:id="51">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Sackville, above n 47, 128.</w:t>
      </w:r>
      <w:proofErr w:type="gramEnd"/>
    </w:p>
  </w:endnote>
  <w:endnote w:id="52">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i/>
          <w:iCs/>
          <w:sz w:val="18"/>
          <w:szCs w:val="18"/>
        </w:rPr>
        <w:t xml:space="preserve">Forge v Australian Securities and Investments Commission </w:t>
      </w:r>
      <w:r w:rsidRPr="007D11A4">
        <w:rPr>
          <w:rFonts w:cs="Arial"/>
          <w:iCs/>
          <w:sz w:val="18"/>
          <w:szCs w:val="18"/>
        </w:rPr>
        <w:t>[2006] HCA 44, [57].</w:t>
      </w:r>
    </w:p>
  </w:endnote>
  <w:endnote w:id="53">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J </w:t>
      </w:r>
      <w:proofErr w:type="spellStart"/>
      <w:r w:rsidRPr="007D11A4">
        <w:rPr>
          <w:rFonts w:cs="Arial"/>
          <w:sz w:val="18"/>
          <w:szCs w:val="18"/>
        </w:rPr>
        <w:t>Spigelman</w:t>
      </w:r>
      <w:proofErr w:type="spellEnd"/>
      <w:proofErr w:type="gramStart"/>
      <w:r w:rsidRPr="007D11A4">
        <w:rPr>
          <w:rFonts w:cs="Arial"/>
          <w:sz w:val="18"/>
          <w:szCs w:val="18"/>
        </w:rPr>
        <w:t>,  ‘The</w:t>
      </w:r>
      <w:proofErr w:type="gramEnd"/>
      <w:r w:rsidRPr="007D11A4">
        <w:rPr>
          <w:rFonts w:cs="Arial"/>
          <w:sz w:val="18"/>
          <w:szCs w:val="18"/>
        </w:rPr>
        <w:t xml:space="preserve"> Centrality of Jurisdictional Error’ (2010) 21 </w:t>
      </w:r>
      <w:r w:rsidRPr="007D11A4">
        <w:rPr>
          <w:rFonts w:cs="Arial"/>
          <w:i/>
          <w:iCs/>
          <w:sz w:val="18"/>
          <w:szCs w:val="18"/>
        </w:rPr>
        <w:t>Public Law Review</w:t>
      </w:r>
      <w:r w:rsidRPr="007D11A4">
        <w:rPr>
          <w:rFonts w:cs="Arial"/>
          <w:sz w:val="18"/>
          <w:szCs w:val="18"/>
        </w:rPr>
        <w:t xml:space="preserve"> 77, 77.</w:t>
      </w:r>
    </w:p>
  </w:endnote>
  <w:endnote w:id="54">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Sackville, above n 47, 130.</w:t>
      </w:r>
      <w:proofErr w:type="gramEnd"/>
    </w:p>
  </w:endnote>
  <w:endnote w:id="55">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See </w:t>
      </w:r>
      <w:proofErr w:type="spellStart"/>
      <w:r w:rsidRPr="007D11A4">
        <w:rPr>
          <w:rFonts w:cs="Arial"/>
          <w:i/>
          <w:iCs/>
          <w:sz w:val="18"/>
          <w:szCs w:val="18"/>
        </w:rPr>
        <w:t>Lipohar</w:t>
      </w:r>
      <w:proofErr w:type="spellEnd"/>
      <w:r w:rsidRPr="007D11A4">
        <w:rPr>
          <w:rFonts w:cs="Arial"/>
          <w:i/>
          <w:iCs/>
          <w:sz w:val="18"/>
          <w:szCs w:val="18"/>
        </w:rPr>
        <w:t xml:space="preserve"> v The Queen</w:t>
      </w:r>
      <w:r w:rsidRPr="007D11A4">
        <w:rPr>
          <w:rFonts w:cs="Arial"/>
          <w:sz w:val="18"/>
          <w:szCs w:val="18"/>
        </w:rPr>
        <w:t xml:space="preserve"> (1999) 200 CLR 485, 505; Groves, above n 2, 411 n 79.</w:t>
      </w:r>
    </w:p>
  </w:endnote>
  <w:endnote w:id="56">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J </w:t>
      </w:r>
      <w:proofErr w:type="spellStart"/>
      <w:r w:rsidRPr="007D11A4">
        <w:rPr>
          <w:rFonts w:cs="Arial"/>
          <w:sz w:val="18"/>
          <w:szCs w:val="18"/>
        </w:rPr>
        <w:t>Basten</w:t>
      </w:r>
      <w:proofErr w:type="spellEnd"/>
      <w:r w:rsidRPr="007D11A4">
        <w:rPr>
          <w:rFonts w:cs="Arial"/>
          <w:sz w:val="18"/>
          <w:szCs w:val="18"/>
        </w:rPr>
        <w:t xml:space="preserve">, ‘The Supervisory Jurisdiction of the Supreme Courts’ (2011) 85 </w:t>
      </w:r>
      <w:r w:rsidRPr="007D11A4">
        <w:rPr>
          <w:rFonts w:cs="Arial"/>
          <w:i/>
          <w:iCs/>
          <w:sz w:val="18"/>
          <w:szCs w:val="18"/>
        </w:rPr>
        <w:t xml:space="preserve">Australian Law </w:t>
      </w:r>
      <w:proofErr w:type="gramStart"/>
      <w:r w:rsidRPr="007D11A4">
        <w:rPr>
          <w:rFonts w:cs="Arial"/>
          <w:i/>
          <w:iCs/>
          <w:sz w:val="18"/>
          <w:szCs w:val="18"/>
        </w:rPr>
        <w:t>Journal</w:t>
      </w:r>
      <w:proofErr w:type="gramEnd"/>
      <w:r w:rsidRPr="007D11A4">
        <w:rPr>
          <w:rFonts w:cs="Arial"/>
          <w:sz w:val="18"/>
          <w:szCs w:val="18"/>
        </w:rPr>
        <w:t xml:space="preserve"> 273, 279.</w:t>
      </w:r>
    </w:p>
  </w:endnote>
  <w:endnote w:id="57">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Gageler</w:t>
      </w:r>
      <w:proofErr w:type="spellEnd"/>
      <w:r w:rsidRPr="007D11A4">
        <w:rPr>
          <w:rFonts w:cs="Arial"/>
          <w:sz w:val="18"/>
          <w:szCs w:val="18"/>
        </w:rPr>
        <w:t>, above n 21, 104.</w:t>
      </w:r>
      <w:proofErr w:type="gramEnd"/>
    </w:p>
  </w:endnote>
  <w:endnote w:id="58">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Eg</w:t>
      </w:r>
      <w:proofErr w:type="spellEnd"/>
      <w:r w:rsidRPr="007D11A4">
        <w:rPr>
          <w:rFonts w:cs="Arial"/>
          <w:sz w:val="18"/>
          <w:szCs w:val="18"/>
        </w:rPr>
        <w:t xml:space="preserve"> Taggart, above n 4.</w:t>
      </w:r>
      <w:proofErr w:type="gramEnd"/>
    </w:p>
  </w:endnote>
  <w:endnote w:id="59">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Though it is not obvious how the High Court will do that. </w:t>
      </w:r>
      <w:proofErr w:type="gramStart"/>
      <w:r w:rsidRPr="007D11A4">
        <w:rPr>
          <w:rFonts w:cs="Arial"/>
          <w:sz w:val="18"/>
          <w:szCs w:val="18"/>
        </w:rPr>
        <w:t xml:space="preserve">J </w:t>
      </w:r>
      <w:proofErr w:type="spellStart"/>
      <w:r w:rsidRPr="007D11A4">
        <w:rPr>
          <w:rFonts w:cs="Arial"/>
          <w:sz w:val="18"/>
          <w:szCs w:val="18"/>
        </w:rPr>
        <w:t>Spigelman</w:t>
      </w:r>
      <w:proofErr w:type="spellEnd"/>
      <w:r w:rsidRPr="007D11A4">
        <w:rPr>
          <w:rFonts w:cs="Arial"/>
          <w:sz w:val="18"/>
          <w:szCs w:val="18"/>
        </w:rPr>
        <w:t xml:space="preserve">, ‘Public Law and the Executive’ (2010) 34 </w:t>
      </w:r>
      <w:r w:rsidRPr="007D11A4">
        <w:rPr>
          <w:rFonts w:cs="Arial"/>
          <w:i/>
          <w:iCs/>
          <w:sz w:val="18"/>
          <w:szCs w:val="18"/>
        </w:rPr>
        <w:t>Australia Bar Review</w:t>
      </w:r>
      <w:r w:rsidRPr="007D11A4">
        <w:rPr>
          <w:rFonts w:cs="Arial"/>
          <w:sz w:val="18"/>
          <w:szCs w:val="18"/>
        </w:rPr>
        <w:t xml:space="preserve"> 1, 6.</w:t>
      </w:r>
      <w:proofErr w:type="gramEnd"/>
    </w:p>
  </w:endnote>
  <w:endnote w:id="60">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Gageler</w:t>
      </w:r>
      <w:proofErr w:type="spellEnd"/>
      <w:r w:rsidRPr="007D11A4">
        <w:rPr>
          <w:rFonts w:cs="Arial"/>
          <w:sz w:val="18"/>
          <w:szCs w:val="18"/>
        </w:rPr>
        <w:t>, above n 13.</w:t>
      </w:r>
      <w:proofErr w:type="gramEnd"/>
    </w:p>
  </w:endnote>
  <w:endnote w:id="61">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If not for its potential to soon become law, then at least for its rigor</w:t>
      </w:r>
      <w:r w:rsidR="005554AB">
        <w:rPr>
          <w:rFonts w:cs="Arial"/>
          <w:sz w:val="18"/>
          <w:szCs w:val="18"/>
        </w:rPr>
        <w:t>ous and comprehensive account of</w:t>
      </w:r>
      <w:r w:rsidRPr="007D11A4">
        <w:rPr>
          <w:rFonts w:cs="Arial"/>
          <w:sz w:val="18"/>
          <w:szCs w:val="18"/>
        </w:rPr>
        <w:t xml:space="preserve"> the history of Australian judicial review.</w:t>
      </w:r>
      <w:proofErr w:type="gramEnd"/>
    </w:p>
  </w:endnote>
  <w:endnote w:id="62">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See </w:t>
      </w:r>
      <w:proofErr w:type="spellStart"/>
      <w:r w:rsidRPr="007D11A4">
        <w:rPr>
          <w:rFonts w:cs="Arial"/>
          <w:sz w:val="18"/>
          <w:szCs w:val="18"/>
        </w:rPr>
        <w:t>Gageler</w:t>
      </w:r>
      <w:proofErr w:type="spellEnd"/>
      <w:r w:rsidRPr="007D11A4">
        <w:rPr>
          <w:rFonts w:cs="Arial"/>
          <w:sz w:val="18"/>
          <w:szCs w:val="18"/>
        </w:rPr>
        <w:t>, above n 31, 70–1.</w:t>
      </w:r>
    </w:p>
  </w:endnote>
  <w:endnote w:id="63">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See S </w:t>
      </w:r>
      <w:proofErr w:type="spellStart"/>
      <w:r w:rsidRPr="007D11A4">
        <w:rPr>
          <w:rFonts w:cs="Arial"/>
          <w:sz w:val="18"/>
          <w:szCs w:val="18"/>
        </w:rPr>
        <w:t>Gageler</w:t>
      </w:r>
      <w:proofErr w:type="spellEnd"/>
      <w:r w:rsidRPr="007D11A4">
        <w:rPr>
          <w:rFonts w:cs="Arial"/>
          <w:sz w:val="18"/>
          <w:szCs w:val="18"/>
        </w:rPr>
        <w:t xml:space="preserve">, ‘Legitimate Expectation: Comment on the Article by the Hon Sir Anthony Mason AC KBE’ (2005) 12 </w:t>
      </w:r>
      <w:r w:rsidRPr="007D11A4">
        <w:rPr>
          <w:rFonts w:cs="Arial"/>
          <w:i/>
          <w:iCs/>
          <w:sz w:val="18"/>
          <w:szCs w:val="18"/>
        </w:rPr>
        <w:t>Australian Journal of Administrative Law</w:t>
      </w:r>
      <w:r w:rsidRPr="007D11A4">
        <w:rPr>
          <w:rFonts w:cs="Arial"/>
          <w:sz w:val="18"/>
          <w:szCs w:val="18"/>
        </w:rPr>
        <w:t xml:space="preserve"> 111; </w:t>
      </w:r>
      <w:proofErr w:type="spellStart"/>
      <w:r w:rsidRPr="007D11A4">
        <w:rPr>
          <w:rFonts w:cs="Arial"/>
          <w:sz w:val="18"/>
          <w:szCs w:val="18"/>
        </w:rPr>
        <w:t>Gageler</w:t>
      </w:r>
      <w:proofErr w:type="spellEnd"/>
      <w:r w:rsidRPr="007D11A4">
        <w:rPr>
          <w:rFonts w:cs="Arial"/>
          <w:sz w:val="18"/>
          <w:szCs w:val="18"/>
        </w:rPr>
        <w:t>, above n 21, 104.</w:t>
      </w:r>
    </w:p>
  </w:endnote>
  <w:endnote w:id="64">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See </w:t>
      </w:r>
      <w:proofErr w:type="spellStart"/>
      <w:r w:rsidRPr="007D11A4">
        <w:rPr>
          <w:rFonts w:cs="Arial"/>
          <w:sz w:val="18"/>
          <w:szCs w:val="18"/>
        </w:rPr>
        <w:t>Gageler</w:t>
      </w:r>
      <w:proofErr w:type="spellEnd"/>
      <w:r w:rsidRPr="007D11A4">
        <w:rPr>
          <w:rFonts w:cs="Arial"/>
          <w:sz w:val="18"/>
          <w:szCs w:val="18"/>
        </w:rPr>
        <w:t>, above n 21, 104.</w:t>
      </w:r>
    </w:p>
  </w:endnote>
  <w:endnote w:id="65">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Inviting perhaps Mandy Rice-Davies’ infamous quip, ‘He would, wouldn’t he?’ All the same, see D Williams</w:t>
      </w:r>
      <w:proofErr w:type="gramStart"/>
      <w:r w:rsidRPr="007D11A4">
        <w:rPr>
          <w:rFonts w:cs="Arial"/>
          <w:sz w:val="18"/>
          <w:szCs w:val="18"/>
        </w:rPr>
        <w:t>,  ‘Judicial</w:t>
      </w:r>
      <w:proofErr w:type="gramEnd"/>
      <w:r w:rsidRPr="007D11A4">
        <w:rPr>
          <w:rFonts w:cs="Arial"/>
          <w:sz w:val="18"/>
          <w:szCs w:val="18"/>
        </w:rPr>
        <w:t xml:space="preserve"> Power and Good Government’ (2000) 11 </w:t>
      </w:r>
      <w:r w:rsidRPr="007D11A4">
        <w:rPr>
          <w:rFonts w:cs="Arial"/>
          <w:i/>
          <w:iCs/>
          <w:sz w:val="18"/>
          <w:szCs w:val="18"/>
        </w:rPr>
        <w:t>Public Law Review</w:t>
      </w:r>
      <w:r w:rsidRPr="007D11A4">
        <w:rPr>
          <w:rFonts w:cs="Arial"/>
          <w:sz w:val="18"/>
          <w:szCs w:val="18"/>
        </w:rPr>
        <w:t xml:space="preserve"> 133, 139.</w:t>
      </w:r>
    </w:p>
  </w:endnote>
  <w:endnote w:id="66">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Cane, above n 14, 131.</w:t>
      </w:r>
      <w:proofErr w:type="gramEnd"/>
    </w:p>
  </w:endnote>
  <w:endnote w:id="67">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Ibid, 127.</w:t>
      </w:r>
      <w:proofErr w:type="gramEnd"/>
    </w:p>
  </w:endnote>
  <w:endnote w:id="68">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Noting all the while the necessary simplifications this characterisation requires. See Taggart, above n 4, 2.</w:t>
      </w:r>
    </w:p>
  </w:endnote>
  <w:endnote w:id="69">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A Mason, ‘The Evolving Role and Function of the High Court’ in B </w:t>
      </w:r>
      <w:proofErr w:type="spellStart"/>
      <w:r w:rsidRPr="007D11A4">
        <w:rPr>
          <w:rFonts w:cs="Arial"/>
          <w:sz w:val="18"/>
          <w:szCs w:val="18"/>
        </w:rPr>
        <w:t>Opeskin</w:t>
      </w:r>
      <w:proofErr w:type="spellEnd"/>
      <w:r w:rsidRPr="007D11A4">
        <w:rPr>
          <w:rFonts w:cs="Arial"/>
          <w:sz w:val="18"/>
          <w:szCs w:val="18"/>
        </w:rPr>
        <w:t xml:space="preserve"> and F Wheeler (</w:t>
      </w:r>
      <w:proofErr w:type="spellStart"/>
      <w:proofErr w:type="gramStart"/>
      <w:r w:rsidRPr="007D11A4">
        <w:rPr>
          <w:rFonts w:cs="Arial"/>
          <w:sz w:val="18"/>
          <w:szCs w:val="18"/>
        </w:rPr>
        <w:t>eds</w:t>
      </w:r>
      <w:proofErr w:type="spellEnd"/>
      <w:proofErr w:type="gramEnd"/>
      <w:r w:rsidRPr="007D11A4">
        <w:rPr>
          <w:rFonts w:cs="Arial"/>
          <w:sz w:val="18"/>
          <w:szCs w:val="18"/>
        </w:rPr>
        <w:t xml:space="preserve">), </w:t>
      </w:r>
      <w:r w:rsidRPr="007D11A4">
        <w:rPr>
          <w:rFonts w:cs="Arial"/>
          <w:i/>
          <w:iCs/>
          <w:sz w:val="18"/>
          <w:szCs w:val="18"/>
        </w:rPr>
        <w:t>The Australian Federal Judicial System</w:t>
      </w:r>
      <w:r w:rsidRPr="007D11A4">
        <w:rPr>
          <w:rFonts w:cs="Arial"/>
          <w:sz w:val="18"/>
          <w:szCs w:val="18"/>
        </w:rPr>
        <w:t xml:space="preserve"> (Melbo</w:t>
      </w:r>
      <w:r w:rsidR="00FA0CC6">
        <w:rPr>
          <w:rFonts w:cs="Arial"/>
          <w:sz w:val="18"/>
          <w:szCs w:val="18"/>
        </w:rPr>
        <w:t>urne University Press</w:t>
      </w:r>
      <w:r w:rsidRPr="007D11A4">
        <w:rPr>
          <w:rFonts w:cs="Arial"/>
          <w:sz w:val="18"/>
          <w:szCs w:val="18"/>
        </w:rPr>
        <w:t>, 2000) 95, 116.</w:t>
      </w:r>
    </w:p>
  </w:endnote>
  <w:endnote w:id="70">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W </w:t>
      </w:r>
      <w:proofErr w:type="spellStart"/>
      <w:r w:rsidRPr="007D11A4">
        <w:rPr>
          <w:rFonts w:cs="Arial"/>
          <w:sz w:val="18"/>
          <w:szCs w:val="18"/>
        </w:rPr>
        <w:t>Gummow</w:t>
      </w:r>
      <w:proofErr w:type="spellEnd"/>
      <w:r w:rsidRPr="007D11A4">
        <w:rPr>
          <w:rFonts w:cs="Arial"/>
          <w:sz w:val="18"/>
          <w:szCs w:val="18"/>
        </w:rPr>
        <w:t>, ‘</w:t>
      </w:r>
      <w:proofErr w:type="gramStart"/>
      <w:r w:rsidRPr="007D11A4">
        <w:rPr>
          <w:rFonts w:cs="Arial"/>
          <w:sz w:val="18"/>
          <w:szCs w:val="18"/>
        </w:rPr>
        <w:t>The</w:t>
      </w:r>
      <w:proofErr w:type="gramEnd"/>
      <w:r w:rsidRPr="007D11A4">
        <w:rPr>
          <w:rFonts w:cs="Arial"/>
          <w:sz w:val="18"/>
          <w:szCs w:val="18"/>
        </w:rPr>
        <w:t xml:space="preserve"> Constitution: Ultimate Foundation of Australian Law?’ </w:t>
      </w:r>
      <w:proofErr w:type="gramStart"/>
      <w:r w:rsidRPr="007D11A4">
        <w:rPr>
          <w:rFonts w:cs="Arial"/>
          <w:sz w:val="18"/>
          <w:szCs w:val="18"/>
        </w:rPr>
        <w:t xml:space="preserve">(2005) 79 </w:t>
      </w:r>
      <w:r w:rsidRPr="007D11A4">
        <w:rPr>
          <w:rFonts w:cs="Arial"/>
          <w:i/>
          <w:iCs/>
          <w:sz w:val="18"/>
          <w:szCs w:val="18"/>
        </w:rPr>
        <w:t>Australian Law Journal</w:t>
      </w:r>
      <w:r w:rsidRPr="007D11A4">
        <w:rPr>
          <w:rFonts w:cs="Arial"/>
          <w:sz w:val="18"/>
          <w:szCs w:val="18"/>
        </w:rPr>
        <w:t xml:space="preserve"> 167.</w:t>
      </w:r>
      <w:proofErr w:type="gramEnd"/>
    </w:p>
  </w:endnote>
  <w:endnote w:id="71">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Taggart, above n 4, 1.</w:t>
      </w:r>
      <w:proofErr w:type="gramEnd"/>
      <w:r w:rsidRPr="007D11A4">
        <w:rPr>
          <w:rFonts w:cs="Arial"/>
          <w:sz w:val="18"/>
          <w:szCs w:val="18"/>
        </w:rPr>
        <w:t xml:space="preserve"> See also Groves, above n 2.</w:t>
      </w:r>
    </w:p>
  </w:endnote>
  <w:endnote w:id="72">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Ibid; B </w:t>
      </w:r>
      <w:proofErr w:type="spellStart"/>
      <w:r w:rsidRPr="007D11A4">
        <w:rPr>
          <w:rFonts w:cs="Arial"/>
          <w:sz w:val="18"/>
          <w:szCs w:val="18"/>
        </w:rPr>
        <w:t>Galligan</w:t>
      </w:r>
      <w:proofErr w:type="spellEnd"/>
      <w:r w:rsidRPr="007D11A4">
        <w:rPr>
          <w:rFonts w:cs="Arial"/>
          <w:sz w:val="18"/>
          <w:szCs w:val="18"/>
        </w:rPr>
        <w:t xml:space="preserve"> and F Morton, ‘Australian </w:t>
      </w:r>
      <w:proofErr w:type="spellStart"/>
      <w:r w:rsidRPr="007D11A4">
        <w:rPr>
          <w:rFonts w:cs="Arial"/>
          <w:sz w:val="18"/>
          <w:szCs w:val="18"/>
        </w:rPr>
        <w:t>Exceptionalism</w:t>
      </w:r>
      <w:proofErr w:type="spellEnd"/>
      <w:r w:rsidRPr="007D11A4">
        <w:rPr>
          <w:rFonts w:cs="Arial"/>
          <w:sz w:val="18"/>
          <w:szCs w:val="18"/>
        </w:rPr>
        <w:t>: Rights Protection Without a Bill of Rights’ in T Campbell, J Goldsworthy and A Stone  (</w:t>
      </w:r>
      <w:proofErr w:type="spellStart"/>
      <w:r w:rsidRPr="007D11A4">
        <w:rPr>
          <w:rFonts w:cs="Arial"/>
          <w:sz w:val="18"/>
          <w:szCs w:val="18"/>
        </w:rPr>
        <w:t>eds</w:t>
      </w:r>
      <w:proofErr w:type="spellEnd"/>
      <w:r w:rsidRPr="007D11A4">
        <w:rPr>
          <w:rFonts w:cs="Arial"/>
          <w:sz w:val="18"/>
          <w:szCs w:val="18"/>
        </w:rPr>
        <w:t xml:space="preserve">), </w:t>
      </w:r>
      <w:r w:rsidRPr="007D11A4">
        <w:rPr>
          <w:rFonts w:cs="Arial"/>
          <w:i/>
          <w:iCs/>
          <w:sz w:val="18"/>
          <w:szCs w:val="18"/>
        </w:rPr>
        <w:t>Protecting Rights Without a Bill of Rights: Institutional Performance and Reform in Australia</w:t>
      </w:r>
      <w:r w:rsidR="00FA0CC6">
        <w:rPr>
          <w:rFonts w:cs="Arial"/>
          <w:sz w:val="18"/>
          <w:szCs w:val="18"/>
        </w:rPr>
        <w:t xml:space="preserve"> (</w:t>
      </w:r>
      <w:proofErr w:type="spellStart"/>
      <w:r w:rsidR="00FA0CC6">
        <w:rPr>
          <w:rFonts w:cs="Arial"/>
          <w:sz w:val="18"/>
          <w:szCs w:val="18"/>
        </w:rPr>
        <w:t>Ashgate</w:t>
      </w:r>
      <w:proofErr w:type="spellEnd"/>
      <w:r w:rsidR="00FA0CC6">
        <w:rPr>
          <w:rFonts w:cs="Arial"/>
          <w:sz w:val="18"/>
          <w:szCs w:val="18"/>
        </w:rPr>
        <w:t xml:space="preserve"> Publishing</w:t>
      </w:r>
      <w:r w:rsidRPr="007D11A4">
        <w:rPr>
          <w:rFonts w:cs="Arial"/>
          <w:sz w:val="18"/>
          <w:szCs w:val="18"/>
        </w:rPr>
        <w:t>, 2006) 17.</w:t>
      </w:r>
    </w:p>
  </w:endnote>
  <w:endnote w:id="73">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Taggart, above n 4, 28.</w:t>
      </w:r>
      <w:proofErr w:type="gramEnd"/>
    </w:p>
  </w:endnote>
  <w:endnote w:id="74">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Poole, T. ‘Between the Devil and the Deep Blue Sea: Administrative Law in an Age of Rights’ in Pearson, L, Harlow, C, and Taggart, M. (</w:t>
      </w:r>
      <w:proofErr w:type="spellStart"/>
      <w:proofErr w:type="gramStart"/>
      <w:r w:rsidRPr="007D11A4">
        <w:rPr>
          <w:rFonts w:cs="Arial"/>
          <w:sz w:val="18"/>
          <w:szCs w:val="18"/>
        </w:rPr>
        <w:t>eds</w:t>
      </w:r>
      <w:proofErr w:type="spellEnd"/>
      <w:proofErr w:type="gramEnd"/>
      <w:r w:rsidRPr="007D11A4">
        <w:rPr>
          <w:rFonts w:cs="Arial"/>
          <w:sz w:val="18"/>
          <w:szCs w:val="18"/>
        </w:rPr>
        <w:t xml:space="preserve">), </w:t>
      </w:r>
      <w:r w:rsidRPr="007D11A4">
        <w:rPr>
          <w:rFonts w:cs="Arial"/>
          <w:i/>
          <w:iCs/>
          <w:sz w:val="18"/>
          <w:szCs w:val="18"/>
        </w:rPr>
        <w:t>Administrative Law in a Changing State: Essays in Honour of Mark Aronson</w:t>
      </w:r>
      <w:r w:rsidRPr="007D11A4">
        <w:rPr>
          <w:rFonts w:cs="Arial"/>
          <w:sz w:val="18"/>
          <w:szCs w:val="18"/>
        </w:rPr>
        <w:t xml:space="preserve"> (2008) 22.</w:t>
      </w:r>
    </w:p>
  </w:endnote>
  <w:endnote w:id="75">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J </w:t>
      </w:r>
      <w:proofErr w:type="spellStart"/>
      <w:r w:rsidRPr="007D11A4">
        <w:rPr>
          <w:rFonts w:cs="Arial"/>
          <w:sz w:val="18"/>
          <w:szCs w:val="18"/>
        </w:rPr>
        <w:t>Spigelman</w:t>
      </w:r>
      <w:proofErr w:type="spellEnd"/>
      <w:r w:rsidRPr="007D11A4">
        <w:rPr>
          <w:rFonts w:cs="Arial"/>
          <w:sz w:val="18"/>
          <w:szCs w:val="18"/>
        </w:rPr>
        <w:t>, ‘Jurisdiction and Integrity’ in D Pearce (</w:t>
      </w:r>
      <w:proofErr w:type="spellStart"/>
      <w:proofErr w:type="gramStart"/>
      <w:r w:rsidRPr="007D11A4">
        <w:rPr>
          <w:rFonts w:cs="Arial"/>
          <w:sz w:val="18"/>
          <w:szCs w:val="18"/>
        </w:rPr>
        <w:t>ed</w:t>
      </w:r>
      <w:proofErr w:type="spellEnd"/>
      <w:proofErr w:type="gramEnd"/>
      <w:r w:rsidRPr="007D11A4">
        <w:rPr>
          <w:rFonts w:cs="Arial"/>
          <w:sz w:val="18"/>
          <w:szCs w:val="18"/>
        </w:rPr>
        <w:t xml:space="preserve">), </w:t>
      </w:r>
      <w:r w:rsidRPr="007D11A4">
        <w:rPr>
          <w:rFonts w:cs="Arial"/>
          <w:i/>
          <w:iCs/>
          <w:sz w:val="18"/>
          <w:szCs w:val="18"/>
        </w:rPr>
        <w:t>AIAL National Lecture Series on Administrative Law No 2</w:t>
      </w:r>
      <w:r w:rsidRPr="007D11A4">
        <w:rPr>
          <w:rFonts w:cs="Arial"/>
          <w:sz w:val="18"/>
          <w:szCs w:val="18"/>
        </w:rPr>
        <w:t>, (Australian Institute of Administrative Law, 2004) 28–9.</w:t>
      </w:r>
    </w:p>
  </w:endnote>
  <w:endnote w:id="76">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Spigelman</w:t>
      </w:r>
      <w:proofErr w:type="spellEnd"/>
      <w:r w:rsidRPr="007D11A4">
        <w:rPr>
          <w:rFonts w:cs="Arial"/>
          <w:sz w:val="18"/>
          <w:szCs w:val="18"/>
        </w:rPr>
        <w:t>, above n 58, 5.</w:t>
      </w:r>
      <w:proofErr w:type="gramEnd"/>
    </w:p>
  </w:endnote>
  <w:endnote w:id="77">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Gageler</w:t>
      </w:r>
      <w:proofErr w:type="spellEnd"/>
      <w:r w:rsidRPr="007D11A4">
        <w:rPr>
          <w:rFonts w:cs="Arial"/>
          <w:sz w:val="18"/>
          <w:szCs w:val="18"/>
        </w:rPr>
        <w:t>, above n 13.</w:t>
      </w:r>
      <w:proofErr w:type="gramEnd"/>
    </w:p>
  </w:endnote>
  <w:endnote w:id="78">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To put it another way, jurisdictional error is just a way of saying that some errors are more important than others; </w:t>
      </w:r>
      <w:proofErr w:type="spellStart"/>
      <w:r w:rsidRPr="007D11A4">
        <w:rPr>
          <w:rFonts w:cs="Arial"/>
          <w:sz w:val="18"/>
          <w:szCs w:val="18"/>
        </w:rPr>
        <w:t>Spigelman</w:t>
      </w:r>
      <w:proofErr w:type="spellEnd"/>
      <w:r w:rsidRPr="007D11A4">
        <w:rPr>
          <w:rFonts w:cs="Arial"/>
          <w:sz w:val="18"/>
          <w:szCs w:val="18"/>
        </w:rPr>
        <w:t>, above n 58, 5.</w:t>
      </w:r>
    </w:p>
  </w:endnote>
  <w:endnote w:id="79">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Basten</w:t>
      </w:r>
      <w:proofErr w:type="spellEnd"/>
      <w:r w:rsidRPr="007D11A4">
        <w:rPr>
          <w:rFonts w:cs="Arial"/>
          <w:sz w:val="18"/>
          <w:szCs w:val="18"/>
        </w:rPr>
        <w:t>, above n 55, 287.</w:t>
      </w:r>
      <w:proofErr w:type="gramEnd"/>
    </w:p>
  </w:endnote>
  <w:endnote w:id="80">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Ibid, 298.</w:t>
      </w:r>
      <w:proofErr w:type="gramEnd"/>
    </w:p>
  </w:endnote>
  <w:endnote w:id="81">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L Jaffe, ‘Judicial Review: Constitutional and Jurisdictional Fact’, (1957) 70 </w:t>
      </w:r>
      <w:r w:rsidRPr="007D11A4">
        <w:rPr>
          <w:rFonts w:cs="Arial"/>
          <w:i/>
          <w:iCs/>
          <w:sz w:val="18"/>
          <w:szCs w:val="18"/>
        </w:rPr>
        <w:t>Harvard Law Review</w:t>
      </w:r>
      <w:r w:rsidRPr="007D11A4">
        <w:rPr>
          <w:rFonts w:cs="Arial"/>
          <w:sz w:val="18"/>
          <w:szCs w:val="18"/>
        </w:rPr>
        <w:t xml:space="preserve"> 953.</w:t>
      </w:r>
    </w:p>
  </w:endnote>
  <w:endnote w:id="82">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Gageler</w:t>
      </w:r>
      <w:proofErr w:type="spellEnd"/>
      <w:r w:rsidRPr="007D11A4">
        <w:rPr>
          <w:rFonts w:cs="Arial"/>
          <w:sz w:val="18"/>
          <w:szCs w:val="18"/>
        </w:rPr>
        <w:t>, above n 13.</w:t>
      </w:r>
      <w:proofErr w:type="gramEnd"/>
    </w:p>
  </w:endnote>
  <w:endnote w:id="83">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Kirk v Industrial Relations Commission (NSW)</w:t>
      </w:r>
      <w:r w:rsidRPr="007D11A4">
        <w:rPr>
          <w:rFonts w:cs="Arial"/>
          <w:sz w:val="18"/>
          <w:szCs w:val="18"/>
        </w:rPr>
        <w:t xml:space="preserve"> (2010) 239 CLR 531, [71].</w:t>
      </w:r>
      <w:proofErr w:type="gramEnd"/>
      <w:r w:rsidRPr="007D11A4">
        <w:rPr>
          <w:rFonts w:cs="Arial"/>
          <w:sz w:val="18"/>
          <w:szCs w:val="18"/>
        </w:rPr>
        <w:t xml:space="preserve"> There are shades of Justice Stewart’s dictum in </w:t>
      </w:r>
      <w:proofErr w:type="spellStart"/>
      <w:r w:rsidRPr="007D11A4">
        <w:rPr>
          <w:rFonts w:cs="Arial"/>
          <w:i/>
          <w:sz w:val="18"/>
          <w:szCs w:val="18"/>
        </w:rPr>
        <w:t>Jacobellis</w:t>
      </w:r>
      <w:proofErr w:type="spellEnd"/>
      <w:r w:rsidRPr="007D11A4">
        <w:rPr>
          <w:rFonts w:cs="Arial"/>
          <w:sz w:val="18"/>
          <w:szCs w:val="18"/>
        </w:rPr>
        <w:t xml:space="preserve"> here with regard to hard-core pornography, saying that while he would not attempt to define it exhaustively, ‘I know it when I see it’: </w:t>
      </w:r>
      <w:proofErr w:type="spellStart"/>
      <w:r w:rsidRPr="007D11A4">
        <w:rPr>
          <w:rFonts w:cs="Arial"/>
          <w:i/>
          <w:sz w:val="18"/>
          <w:szCs w:val="18"/>
        </w:rPr>
        <w:t>Jacobellis</w:t>
      </w:r>
      <w:proofErr w:type="spellEnd"/>
      <w:r w:rsidRPr="007D11A4">
        <w:rPr>
          <w:rFonts w:cs="Arial"/>
          <w:i/>
          <w:sz w:val="18"/>
          <w:szCs w:val="18"/>
        </w:rPr>
        <w:t xml:space="preserve"> v Ohio</w:t>
      </w:r>
      <w:r w:rsidRPr="007D11A4">
        <w:rPr>
          <w:rFonts w:cs="Arial"/>
          <w:sz w:val="18"/>
          <w:szCs w:val="18"/>
        </w:rPr>
        <w:t xml:space="preserve"> 378 U.S. 184 (1964).</w:t>
      </w:r>
    </w:p>
  </w:endnote>
  <w:endnote w:id="84">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Groves, above n 2, 416.</w:t>
      </w:r>
      <w:proofErr w:type="gramEnd"/>
    </w:p>
  </w:endnote>
  <w:endnote w:id="85">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Ibid.</w:t>
      </w:r>
    </w:p>
  </w:endnote>
  <w:endnote w:id="86">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Basten</w:t>
      </w:r>
      <w:proofErr w:type="spellEnd"/>
      <w:r w:rsidRPr="007D11A4">
        <w:rPr>
          <w:rFonts w:cs="Arial"/>
          <w:sz w:val="18"/>
          <w:szCs w:val="18"/>
        </w:rPr>
        <w:t>, above n 55, 298.</w:t>
      </w:r>
      <w:proofErr w:type="gramEnd"/>
    </w:p>
  </w:endnote>
  <w:endnote w:id="87">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R Sackville, ‘An Age of Judicial Hegemony’ (2013) 87 </w:t>
      </w:r>
      <w:r w:rsidRPr="007D11A4">
        <w:rPr>
          <w:rFonts w:cs="Arial"/>
          <w:i/>
          <w:iCs/>
          <w:sz w:val="18"/>
          <w:szCs w:val="18"/>
        </w:rPr>
        <w:t>Australian Law Journal</w:t>
      </w:r>
      <w:r w:rsidRPr="007D11A4">
        <w:rPr>
          <w:rFonts w:cs="Arial"/>
          <w:sz w:val="18"/>
          <w:szCs w:val="18"/>
        </w:rPr>
        <w:t xml:space="preserve"> 105, 112.</w:t>
      </w:r>
      <w:proofErr w:type="gramEnd"/>
      <w:r w:rsidRPr="007D11A4">
        <w:rPr>
          <w:rFonts w:cs="Arial"/>
          <w:sz w:val="18"/>
          <w:szCs w:val="18"/>
        </w:rPr>
        <w:t xml:space="preserve"> Sackville expands on this last point with a (quasi-conspiracy) theory that, while Parliaments were focusing in the 2000s on rejecting a national bill of rights – on the grounds this would transfer too much power to the judiciary – the High Court stealthily presided over precisely the kind of power transfer that was mooted, with almost no public objection.</w:t>
      </w:r>
    </w:p>
  </w:endnote>
  <w:endnote w:id="88">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Taggart, above n 4, 27.</w:t>
      </w:r>
      <w:proofErr w:type="gramEnd"/>
    </w:p>
  </w:endnote>
  <w:endnote w:id="89">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M Aronson, ‘Process, Quality and Variable Standards: Responding to an Agent Provocateur’ in D </w:t>
      </w:r>
      <w:proofErr w:type="spellStart"/>
      <w:r w:rsidRPr="007D11A4">
        <w:rPr>
          <w:rFonts w:cs="Arial"/>
          <w:sz w:val="18"/>
          <w:szCs w:val="18"/>
        </w:rPr>
        <w:t>Dyzenhaus</w:t>
      </w:r>
      <w:proofErr w:type="spellEnd"/>
      <w:proofErr w:type="gramStart"/>
      <w:r w:rsidRPr="007D11A4">
        <w:rPr>
          <w:rFonts w:cs="Arial"/>
          <w:sz w:val="18"/>
          <w:szCs w:val="18"/>
        </w:rPr>
        <w:t>,  M</w:t>
      </w:r>
      <w:proofErr w:type="gramEnd"/>
      <w:r w:rsidRPr="007D11A4">
        <w:rPr>
          <w:rFonts w:cs="Arial"/>
          <w:sz w:val="18"/>
          <w:szCs w:val="18"/>
        </w:rPr>
        <w:t xml:space="preserve"> Hunt and G </w:t>
      </w:r>
      <w:proofErr w:type="spellStart"/>
      <w:r w:rsidRPr="007D11A4">
        <w:rPr>
          <w:rFonts w:cs="Arial"/>
          <w:sz w:val="18"/>
          <w:szCs w:val="18"/>
        </w:rPr>
        <w:t>Huscroft</w:t>
      </w:r>
      <w:proofErr w:type="spellEnd"/>
      <w:r w:rsidRPr="007D11A4">
        <w:rPr>
          <w:rFonts w:cs="Arial"/>
          <w:sz w:val="18"/>
          <w:szCs w:val="18"/>
        </w:rPr>
        <w:t xml:space="preserve"> (</w:t>
      </w:r>
      <w:proofErr w:type="spellStart"/>
      <w:r w:rsidRPr="007D11A4">
        <w:rPr>
          <w:rFonts w:cs="Arial"/>
          <w:sz w:val="18"/>
          <w:szCs w:val="18"/>
        </w:rPr>
        <w:t>eds</w:t>
      </w:r>
      <w:proofErr w:type="spellEnd"/>
      <w:r w:rsidRPr="007D11A4">
        <w:rPr>
          <w:rFonts w:cs="Arial"/>
          <w:sz w:val="18"/>
          <w:szCs w:val="18"/>
        </w:rPr>
        <w:t xml:space="preserve">), </w:t>
      </w:r>
      <w:r w:rsidRPr="007D11A4">
        <w:rPr>
          <w:rFonts w:cs="Arial"/>
          <w:i/>
          <w:iCs/>
          <w:sz w:val="18"/>
          <w:szCs w:val="18"/>
        </w:rPr>
        <w:t>A Simple Common Lawyer: Essays in Honour of Michael Taggart</w:t>
      </w:r>
      <w:r w:rsidR="005B2AD4">
        <w:rPr>
          <w:rFonts w:cs="Arial"/>
          <w:sz w:val="18"/>
          <w:szCs w:val="18"/>
        </w:rPr>
        <w:t xml:space="preserve"> (Hart Publishing, </w:t>
      </w:r>
      <w:r w:rsidRPr="007D11A4">
        <w:rPr>
          <w:rFonts w:cs="Arial"/>
          <w:sz w:val="18"/>
          <w:szCs w:val="18"/>
        </w:rPr>
        <w:t xml:space="preserve"> 2009) 5, adopting Martinez’s conception in J Martinez, ‘Process and Substance in the ‘War on Terror’’ (2008) 108 </w:t>
      </w:r>
      <w:r w:rsidRPr="007D11A4">
        <w:rPr>
          <w:rFonts w:cs="Arial"/>
          <w:i/>
          <w:sz w:val="18"/>
          <w:szCs w:val="18"/>
        </w:rPr>
        <w:t>Columbia Law Review</w:t>
      </w:r>
      <w:r w:rsidRPr="007D11A4">
        <w:rPr>
          <w:rFonts w:cs="Arial"/>
          <w:sz w:val="18"/>
          <w:szCs w:val="18"/>
        </w:rPr>
        <w:t xml:space="preserve"> 1013 at 1020–21.</w:t>
      </w:r>
    </w:p>
  </w:endnote>
  <w:endnote w:id="90">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Gageler</w:t>
      </w:r>
      <w:proofErr w:type="spellEnd"/>
      <w:r w:rsidRPr="007D11A4">
        <w:rPr>
          <w:rFonts w:cs="Arial"/>
          <w:sz w:val="18"/>
          <w:szCs w:val="18"/>
        </w:rPr>
        <w:t>, above n 13.</w:t>
      </w:r>
      <w:proofErr w:type="gramEnd"/>
    </w:p>
  </w:endnote>
  <w:endnote w:id="91">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Cane, P. ‘Participation and Constitutionalism’ (2010) 38</w:t>
      </w:r>
      <w:r w:rsidRPr="007D11A4">
        <w:rPr>
          <w:rFonts w:cs="Arial"/>
          <w:i/>
          <w:iCs/>
          <w:sz w:val="18"/>
          <w:szCs w:val="18"/>
        </w:rPr>
        <w:t xml:space="preserve"> Federal Law Review</w:t>
      </w:r>
      <w:r w:rsidRPr="007D11A4">
        <w:rPr>
          <w:rFonts w:cs="Arial"/>
          <w:sz w:val="18"/>
          <w:szCs w:val="18"/>
        </w:rPr>
        <w:t xml:space="preserve"> 319, 338.</w:t>
      </w:r>
      <w:proofErr w:type="gramEnd"/>
    </w:p>
  </w:endnote>
  <w:endnote w:id="92">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Gageler</w:t>
      </w:r>
      <w:proofErr w:type="spellEnd"/>
      <w:r w:rsidRPr="007D11A4">
        <w:rPr>
          <w:rFonts w:cs="Arial"/>
          <w:sz w:val="18"/>
          <w:szCs w:val="18"/>
        </w:rPr>
        <w:t>, above n 21, 104.</w:t>
      </w:r>
      <w:proofErr w:type="gramEnd"/>
    </w:p>
  </w:endnote>
  <w:endnote w:id="93">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M Aronson, B Dyer and M Groves, </w:t>
      </w:r>
      <w:r w:rsidRPr="007D11A4">
        <w:rPr>
          <w:rFonts w:cs="Arial"/>
          <w:i/>
          <w:iCs/>
          <w:sz w:val="18"/>
          <w:szCs w:val="18"/>
        </w:rPr>
        <w:t>Judicial Review of Administrative Action</w:t>
      </w:r>
      <w:r w:rsidRPr="007D11A4">
        <w:rPr>
          <w:rFonts w:cs="Arial"/>
          <w:sz w:val="18"/>
          <w:szCs w:val="18"/>
        </w:rPr>
        <w:t xml:space="preserve"> (3rd </w:t>
      </w:r>
      <w:proofErr w:type="spellStart"/>
      <w:r w:rsidRPr="007D11A4">
        <w:rPr>
          <w:rFonts w:cs="Arial"/>
          <w:sz w:val="18"/>
          <w:szCs w:val="18"/>
        </w:rPr>
        <w:t>ed</w:t>
      </w:r>
      <w:proofErr w:type="spellEnd"/>
      <w:r w:rsidRPr="007D11A4">
        <w:rPr>
          <w:rFonts w:cs="Arial"/>
          <w:sz w:val="18"/>
          <w:szCs w:val="18"/>
        </w:rPr>
        <w:t xml:space="preserve">) (Thomson </w:t>
      </w:r>
      <w:proofErr w:type="spellStart"/>
      <w:r w:rsidRPr="007D11A4">
        <w:rPr>
          <w:rFonts w:cs="Arial"/>
          <w:sz w:val="18"/>
          <w:szCs w:val="18"/>
        </w:rPr>
        <w:t>LawBook</w:t>
      </w:r>
      <w:proofErr w:type="spellEnd"/>
      <w:proofErr w:type="gramStart"/>
      <w:r w:rsidRPr="007D11A4">
        <w:rPr>
          <w:rFonts w:cs="Arial"/>
          <w:sz w:val="18"/>
          <w:szCs w:val="18"/>
        </w:rPr>
        <w:t>,  2004</w:t>
      </w:r>
      <w:proofErr w:type="gramEnd"/>
      <w:r w:rsidRPr="007D11A4">
        <w:rPr>
          <w:rFonts w:cs="Arial"/>
          <w:sz w:val="18"/>
          <w:szCs w:val="18"/>
        </w:rPr>
        <w:t xml:space="preserve">) 165. For a more forceful view, see P Cane, ‘Merits Review and Judicial Review – The AAT as Trojan Horse’ (2000) 28 </w:t>
      </w:r>
      <w:r w:rsidRPr="007D11A4">
        <w:rPr>
          <w:rFonts w:cs="Arial"/>
          <w:i/>
          <w:iCs/>
          <w:sz w:val="18"/>
          <w:szCs w:val="18"/>
        </w:rPr>
        <w:t>Federal Law Review</w:t>
      </w:r>
      <w:r w:rsidRPr="007D11A4">
        <w:rPr>
          <w:rFonts w:cs="Arial"/>
          <w:sz w:val="18"/>
          <w:szCs w:val="18"/>
        </w:rPr>
        <w:t xml:space="preserve"> 213.</w:t>
      </w:r>
    </w:p>
  </w:endnote>
  <w:endnote w:id="94">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M Gleeson, ‘Judicial Legitimacy’ (2000) 20 </w:t>
      </w:r>
      <w:r w:rsidRPr="007D11A4">
        <w:rPr>
          <w:rFonts w:cs="Arial"/>
          <w:i/>
          <w:iCs/>
          <w:sz w:val="18"/>
          <w:szCs w:val="18"/>
        </w:rPr>
        <w:t>Australian Bar Review</w:t>
      </w:r>
      <w:r w:rsidRPr="007D11A4">
        <w:rPr>
          <w:rFonts w:cs="Arial"/>
          <w:sz w:val="18"/>
          <w:szCs w:val="18"/>
        </w:rPr>
        <w:t xml:space="preserve"> 4, 11.</w:t>
      </w:r>
      <w:proofErr w:type="gramEnd"/>
    </w:p>
  </w:endnote>
  <w:endnote w:id="95">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Perram</w:t>
      </w:r>
      <w:proofErr w:type="spellEnd"/>
      <w:r w:rsidRPr="007D11A4">
        <w:rPr>
          <w:rFonts w:cs="Arial"/>
          <w:sz w:val="18"/>
          <w:szCs w:val="18"/>
        </w:rPr>
        <w:t>, above n 3, 224.</w:t>
      </w:r>
      <w:proofErr w:type="gramEnd"/>
    </w:p>
  </w:endnote>
  <w:endnote w:id="96">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Perram</w:t>
      </w:r>
      <w:proofErr w:type="spellEnd"/>
      <w:r w:rsidRPr="007D11A4">
        <w:rPr>
          <w:rFonts w:cs="Arial"/>
          <w:sz w:val="18"/>
          <w:szCs w:val="18"/>
        </w:rPr>
        <w:t>, above n 3, 226.</w:t>
      </w:r>
      <w:proofErr w:type="gramEnd"/>
    </w:p>
  </w:endnote>
  <w:endnote w:id="97">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A Mason, ‘The Break with the Privy Council and the Internationalisation of the Common Law’ in P Cane (</w:t>
      </w:r>
      <w:proofErr w:type="spellStart"/>
      <w:r w:rsidRPr="007D11A4">
        <w:rPr>
          <w:rFonts w:cs="Arial"/>
          <w:sz w:val="18"/>
          <w:szCs w:val="18"/>
        </w:rPr>
        <w:t>ed</w:t>
      </w:r>
      <w:proofErr w:type="spellEnd"/>
      <w:r w:rsidRPr="007D11A4">
        <w:rPr>
          <w:rFonts w:cs="Arial"/>
          <w:sz w:val="18"/>
          <w:szCs w:val="18"/>
        </w:rPr>
        <w:t xml:space="preserve">), </w:t>
      </w:r>
      <w:r w:rsidRPr="007D11A4">
        <w:rPr>
          <w:rFonts w:cs="Arial"/>
          <w:i/>
          <w:iCs/>
          <w:sz w:val="18"/>
          <w:szCs w:val="18"/>
        </w:rPr>
        <w:t>Centenary of Essays for the High Court of Australia</w:t>
      </w:r>
      <w:r w:rsidRPr="007D11A4">
        <w:rPr>
          <w:rFonts w:cs="Arial"/>
          <w:sz w:val="18"/>
          <w:szCs w:val="18"/>
        </w:rPr>
        <w:t xml:space="preserve"> (LexisNexis </w:t>
      </w:r>
      <w:proofErr w:type="spellStart"/>
      <w:r w:rsidR="005B2AD4">
        <w:rPr>
          <w:rFonts w:cs="Arial"/>
          <w:sz w:val="18"/>
          <w:szCs w:val="18"/>
        </w:rPr>
        <w:t>Butterworths</w:t>
      </w:r>
      <w:proofErr w:type="spellEnd"/>
      <w:r w:rsidRPr="007D11A4">
        <w:rPr>
          <w:rFonts w:cs="Arial"/>
          <w:sz w:val="18"/>
          <w:szCs w:val="18"/>
        </w:rPr>
        <w:t>, 2004) 66.</w:t>
      </w:r>
    </w:p>
  </w:endnote>
  <w:endnote w:id="98">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M Gleeson, ‘Global Influences on the Australian Judiciary’ (2002) 22 </w:t>
      </w:r>
      <w:r w:rsidRPr="007D11A4">
        <w:rPr>
          <w:rFonts w:cs="Arial"/>
          <w:i/>
          <w:iCs/>
          <w:sz w:val="18"/>
          <w:szCs w:val="18"/>
        </w:rPr>
        <w:t>Australia</w:t>
      </w:r>
      <w:r w:rsidR="00502E8C">
        <w:rPr>
          <w:rFonts w:cs="Arial"/>
          <w:i/>
          <w:iCs/>
          <w:sz w:val="18"/>
          <w:szCs w:val="18"/>
        </w:rPr>
        <w:t>n</w:t>
      </w:r>
      <w:r w:rsidRPr="007D11A4">
        <w:rPr>
          <w:rFonts w:cs="Arial"/>
          <w:i/>
          <w:iCs/>
          <w:sz w:val="18"/>
          <w:szCs w:val="18"/>
        </w:rPr>
        <w:t xml:space="preserve"> Bar Review</w:t>
      </w:r>
      <w:r w:rsidRPr="007D11A4">
        <w:rPr>
          <w:rFonts w:cs="Arial"/>
          <w:sz w:val="18"/>
          <w:szCs w:val="18"/>
        </w:rPr>
        <w:t xml:space="preserve"> 184, 185.</w:t>
      </w:r>
      <w:proofErr w:type="gramEnd"/>
    </w:p>
  </w:endnote>
  <w:endnote w:id="99">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Pr>
          <w:rFonts w:cs="Arial"/>
          <w:sz w:val="18"/>
          <w:szCs w:val="18"/>
        </w:rPr>
        <w:tab/>
      </w:r>
      <w:r w:rsidRPr="007D11A4">
        <w:rPr>
          <w:rFonts w:cs="Arial"/>
          <w:sz w:val="18"/>
          <w:szCs w:val="18"/>
        </w:rPr>
        <w:t>J Goldsworthy, ‘Australia: Devotion to Legalism’ in J Goldsworthy (</w:t>
      </w:r>
      <w:proofErr w:type="spellStart"/>
      <w:proofErr w:type="gramStart"/>
      <w:r w:rsidRPr="007D11A4">
        <w:rPr>
          <w:rFonts w:cs="Arial"/>
          <w:sz w:val="18"/>
          <w:szCs w:val="18"/>
        </w:rPr>
        <w:t>ed</w:t>
      </w:r>
      <w:proofErr w:type="spellEnd"/>
      <w:proofErr w:type="gramEnd"/>
      <w:r w:rsidRPr="007D11A4">
        <w:rPr>
          <w:rFonts w:cs="Arial"/>
          <w:sz w:val="18"/>
          <w:szCs w:val="18"/>
        </w:rPr>
        <w:t xml:space="preserve">), </w:t>
      </w:r>
      <w:r w:rsidRPr="007D11A4">
        <w:rPr>
          <w:rFonts w:cs="Arial"/>
          <w:i/>
          <w:iCs/>
          <w:sz w:val="18"/>
          <w:szCs w:val="18"/>
        </w:rPr>
        <w:t>Interpreting Constitutions: A Comparative Study</w:t>
      </w:r>
      <w:r w:rsidRPr="007D11A4">
        <w:rPr>
          <w:rFonts w:cs="Arial"/>
          <w:sz w:val="18"/>
          <w:szCs w:val="18"/>
        </w:rPr>
        <w:t xml:space="preserve"> </w:t>
      </w:r>
      <w:r w:rsidR="00502E8C">
        <w:rPr>
          <w:rFonts w:cs="Arial"/>
          <w:sz w:val="18"/>
          <w:szCs w:val="18"/>
        </w:rPr>
        <w:t>(Oxford University Press</w:t>
      </w:r>
      <w:r w:rsidRPr="007D11A4">
        <w:rPr>
          <w:rFonts w:cs="Arial"/>
          <w:sz w:val="18"/>
          <w:szCs w:val="18"/>
        </w:rPr>
        <w:t>, 2006) 106, 148.</w:t>
      </w:r>
    </w:p>
  </w:endnote>
  <w:endnote w:id="100">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Taggart, above n 4, 4–5.</w:t>
      </w:r>
    </w:p>
  </w:endnote>
  <w:endnote w:id="101">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r w:rsidRPr="007D11A4">
        <w:rPr>
          <w:rFonts w:cs="Arial"/>
          <w:sz w:val="18"/>
          <w:szCs w:val="18"/>
        </w:rPr>
        <w:t>Perram</w:t>
      </w:r>
      <w:proofErr w:type="spellEnd"/>
      <w:r w:rsidRPr="007D11A4">
        <w:rPr>
          <w:rFonts w:cs="Arial"/>
          <w:sz w:val="18"/>
          <w:szCs w:val="18"/>
        </w:rPr>
        <w:t xml:space="preserve"> goes on to quip that this state of affairs is not so far removed from Napoleon’s law. </w:t>
      </w:r>
      <w:proofErr w:type="spellStart"/>
      <w:proofErr w:type="gramStart"/>
      <w:r w:rsidRPr="007D11A4">
        <w:rPr>
          <w:rFonts w:cs="Arial"/>
          <w:sz w:val="18"/>
          <w:szCs w:val="18"/>
        </w:rPr>
        <w:t>Perram</w:t>
      </w:r>
      <w:proofErr w:type="spellEnd"/>
      <w:r w:rsidRPr="007D11A4">
        <w:rPr>
          <w:rFonts w:cs="Arial"/>
          <w:sz w:val="18"/>
          <w:szCs w:val="18"/>
        </w:rPr>
        <w:t>, above n 3, 226.</w:t>
      </w:r>
      <w:proofErr w:type="gramEnd"/>
    </w:p>
  </w:endnote>
  <w:endnote w:id="102">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D Drummond, ‘Towards a More Compliant Judiciary?</w:t>
      </w:r>
      <w:proofErr w:type="gramEnd"/>
      <w:r w:rsidRPr="007D11A4">
        <w:rPr>
          <w:rFonts w:cs="Arial"/>
          <w:sz w:val="18"/>
          <w:szCs w:val="18"/>
        </w:rPr>
        <w:t xml:space="preserve"> – Part I’ (2001) 75 </w:t>
      </w:r>
      <w:r w:rsidRPr="007D11A4">
        <w:rPr>
          <w:rFonts w:cs="Arial"/>
          <w:i/>
          <w:iCs/>
          <w:sz w:val="18"/>
          <w:szCs w:val="18"/>
        </w:rPr>
        <w:t>Australian Law Journal</w:t>
      </w:r>
      <w:r w:rsidRPr="007D11A4">
        <w:rPr>
          <w:rFonts w:cs="Arial"/>
          <w:sz w:val="18"/>
          <w:szCs w:val="18"/>
        </w:rPr>
        <w:t xml:space="preserve"> 304, 306.</w:t>
      </w:r>
    </w:p>
  </w:endnote>
  <w:endnote w:id="103">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Sackville, above n 86, 108.</w:t>
      </w:r>
      <w:proofErr w:type="gramEnd"/>
    </w:p>
  </w:endnote>
  <w:endnote w:id="104">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Ibid.</w:t>
      </w:r>
    </w:p>
  </w:endnote>
  <w:endnote w:id="105">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Aronson, above n 88, 10.</w:t>
      </w:r>
      <w:proofErr w:type="gramEnd"/>
    </w:p>
  </w:endnote>
  <w:endnote w:id="106">
    <w:p w:rsidR="007D11A4" w:rsidRPr="007D11A4" w:rsidRDefault="007D11A4" w:rsidP="007D11A4">
      <w:pPr>
        <w:pStyle w:val="EndnoteText"/>
        <w:tabs>
          <w:tab w:val="left" w:pos="426"/>
        </w:tabs>
        <w:ind w:left="426" w:hanging="426"/>
        <w:jc w:val="both"/>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Anecdotal reports from the Land and Environment Court indicate that the doctrine is still very much in vogue in that particular jurisdiction.</w:t>
      </w:r>
    </w:p>
  </w:endnote>
  <w:endnote w:id="107">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R Harrison, ‘</w:t>
      </w:r>
      <w:proofErr w:type="gramStart"/>
      <w:r w:rsidRPr="007D11A4">
        <w:rPr>
          <w:rFonts w:cs="Arial"/>
          <w:sz w:val="18"/>
          <w:szCs w:val="18"/>
        </w:rPr>
        <w:t>The</w:t>
      </w:r>
      <w:proofErr w:type="gramEnd"/>
      <w:r w:rsidRPr="007D11A4">
        <w:rPr>
          <w:rFonts w:cs="Arial"/>
          <w:sz w:val="18"/>
          <w:szCs w:val="18"/>
        </w:rPr>
        <w:t xml:space="preserve"> New Public Law: a New Zealand Perspective’ (2003) 14 </w:t>
      </w:r>
      <w:r w:rsidRPr="007D11A4">
        <w:rPr>
          <w:rFonts w:cs="Arial"/>
          <w:i/>
          <w:iCs/>
          <w:sz w:val="18"/>
          <w:szCs w:val="18"/>
        </w:rPr>
        <w:t>Public Law Review</w:t>
      </w:r>
      <w:r w:rsidRPr="007D11A4">
        <w:rPr>
          <w:rFonts w:cs="Arial"/>
          <w:sz w:val="18"/>
          <w:szCs w:val="18"/>
        </w:rPr>
        <w:t xml:space="preserve"> 41, 56.</w:t>
      </w:r>
    </w:p>
  </w:endnote>
  <w:endnote w:id="108">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sz w:val="18"/>
          <w:szCs w:val="18"/>
        </w:rPr>
        <w:t>Minister for Immigration and Citizenship v Li</w:t>
      </w:r>
      <w:r w:rsidRPr="007D11A4">
        <w:rPr>
          <w:rFonts w:cs="Arial"/>
          <w:sz w:val="18"/>
          <w:szCs w:val="18"/>
        </w:rPr>
        <w:t xml:space="preserve"> [2013] HCA 18.</w:t>
      </w:r>
      <w:proofErr w:type="gramEnd"/>
    </w:p>
  </w:endnote>
  <w:endnote w:id="109">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Groves, above n 2, 430.</w:t>
      </w:r>
      <w:proofErr w:type="gramEnd"/>
    </w:p>
  </w:endnote>
  <w:endnote w:id="110">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And even </w:t>
      </w:r>
      <w:proofErr w:type="spellStart"/>
      <w:r w:rsidRPr="007D11A4">
        <w:rPr>
          <w:rFonts w:cs="Arial"/>
          <w:i/>
          <w:sz w:val="18"/>
          <w:szCs w:val="18"/>
        </w:rPr>
        <w:t>Wednesbury</w:t>
      </w:r>
      <w:proofErr w:type="spellEnd"/>
      <w:r w:rsidRPr="007D11A4">
        <w:rPr>
          <w:rFonts w:cs="Arial"/>
          <w:sz w:val="18"/>
          <w:szCs w:val="18"/>
        </w:rPr>
        <w:t xml:space="preserve"> has never had universal acceptance; Taggart, above n 4, 24.</w:t>
      </w:r>
    </w:p>
  </w:endnote>
  <w:endnote w:id="111">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Aronson, above n 88, 10.</w:t>
      </w:r>
      <w:proofErr w:type="gramEnd"/>
    </w:p>
  </w:endnote>
  <w:endnote w:id="112">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Re Minister for Immigration and Multicultural Affairs; Ex parte S20</w:t>
      </w:r>
      <w:r w:rsidRPr="007D11A4">
        <w:rPr>
          <w:rFonts w:cs="Arial"/>
          <w:sz w:val="18"/>
          <w:szCs w:val="18"/>
        </w:rPr>
        <w:t xml:space="preserve"> (2003) 198 ALR 59 [161].</w:t>
      </w:r>
      <w:proofErr w:type="gramEnd"/>
    </w:p>
  </w:endnote>
  <w:endnote w:id="113">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M Groves, ‘Substantive Legitimate Expectations in Administrative Law’ (2008) 32 </w:t>
      </w:r>
      <w:r w:rsidRPr="007D11A4">
        <w:rPr>
          <w:rFonts w:cs="Arial"/>
          <w:i/>
          <w:iCs/>
          <w:sz w:val="18"/>
          <w:szCs w:val="18"/>
        </w:rPr>
        <w:t>Melbourne University Law Review</w:t>
      </w:r>
      <w:r w:rsidRPr="007D11A4">
        <w:rPr>
          <w:rFonts w:cs="Arial"/>
          <w:sz w:val="18"/>
          <w:szCs w:val="18"/>
        </w:rPr>
        <w:t xml:space="preserve"> 470, 511.</w:t>
      </w:r>
      <w:proofErr w:type="gramEnd"/>
    </w:p>
  </w:endnote>
  <w:endnote w:id="114">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i/>
          <w:iCs/>
          <w:sz w:val="18"/>
          <w:szCs w:val="18"/>
        </w:rPr>
        <w:t>Minister for Immigration and Multicultural Affairs; Ex parte Lam</w:t>
      </w:r>
      <w:r w:rsidRPr="007D11A4">
        <w:rPr>
          <w:rFonts w:cs="Arial"/>
          <w:sz w:val="18"/>
          <w:szCs w:val="18"/>
        </w:rPr>
        <w:t xml:space="preserve"> (2003) 214 CLR 1, 10 [28].</w:t>
      </w:r>
    </w:p>
  </w:endnote>
  <w:endnote w:id="115">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Groves, above n 111, 509.</w:t>
      </w:r>
      <w:proofErr w:type="gramEnd"/>
    </w:p>
  </w:endnote>
  <w:endnote w:id="116">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Aronson, Dyer and Groves, above n 38, 408–14.</w:t>
      </w:r>
      <w:proofErr w:type="gramEnd"/>
    </w:p>
  </w:endnote>
  <w:endnote w:id="117">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D </w:t>
      </w:r>
      <w:proofErr w:type="spellStart"/>
      <w:r w:rsidRPr="007D11A4">
        <w:rPr>
          <w:rFonts w:cs="Arial"/>
          <w:sz w:val="18"/>
          <w:szCs w:val="18"/>
        </w:rPr>
        <w:t>Dyzenhaus</w:t>
      </w:r>
      <w:proofErr w:type="spellEnd"/>
      <w:r w:rsidRPr="007D11A4">
        <w:rPr>
          <w:rFonts w:cs="Arial"/>
          <w:sz w:val="18"/>
          <w:szCs w:val="18"/>
        </w:rPr>
        <w:t>, M Hunt and M Taggart</w:t>
      </w:r>
      <w:proofErr w:type="gramStart"/>
      <w:r w:rsidRPr="007D11A4">
        <w:rPr>
          <w:rFonts w:cs="Arial"/>
          <w:sz w:val="18"/>
          <w:szCs w:val="18"/>
        </w:rPr>
        <w:t>,  ‘The</w:t>
      </w:r>
      <w:proofErr w:type="gramEnd"/>
      <w:r w:rsidRPr="007D11A4">
        <w:rPr>
          <w:rFonts w:cs="Arial"/>
          <w:sz w:val="18"/>
          <w:szCs w:val="18"/>
        </w:rPr>
        <w:t xml:space="preserve"> Principle of Legality in Administrative Law: Internationalisation as </w:t>
      </w:r>
      <w:proofErr w:type="spellStart"/>
      <w:r w:rsidRPr="007D11A4">
        <w:rPr>
          <w:rFonts w:cs="Arial"/>
          <w:sz w:val="18"/>
          <w:szCs w:val="18"/>
        </w:rPr>
        <w:t>Constitutionalisation</w:t>
      </w:r>
      <w:proofErr w:type="spellEnd"/>
      <w:r w:rsidRPr="007D11A4">
        <w:rPr>
          <w:rFonts w:cs="Arial"/>
          <w:sz w:val="18"/>
          <w:szCs w:val="18"/>
        </w:rPr>
        <w:t xml:space="preserve">’ (2001) 1 </w:t>
      </w:r>
      <w:r w:rsidRPr="007D11A4">
        <w:rPr>
          <w:rFonts w:cs="Arial"/>
          <w:i/>
          <w:iCs/>
          <w:sz w:val="18"/>
          <w:szCs w:val="18"/>
        </w:rPr>
        <w:t>Oxford University Commonwealth Law Journal</w:t>
      </w:r>
      <w:r w:rsidRPr="007D11A4">
        <w:rPr>
          <w:rFonts w:cs="Arial"/>
          <w:sz w:val="18"/>
          <w:szCs w:val="18"/>
        </w:rPr>
        <w:t xml:space="preserve"> 5, 6.</w:t>
      </w:r>
    </w:p>
  </w:endnote>
  <w:endnote w:id="118">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And even here the list is not exhausted. Justice </w:t>
      </w:r>
      <w:proofErr w:type="spellStart"/>
      <w:r w:rsidRPr="007D11A4">
        <w:rPr>
          <w:rFonts w:cs="Arial"/>
          <w:sz w:val="18"/>
          <w:szCs w:val="18"/>
        </w:rPr>
        <w:t>Gummow’s</w:t>
      </w:r>
      <w:proofErr w:type="spellEnd"/>
      <w:r w:rsidRPr="007D11A4">
        <w:rPr>
          <w:rFonts w:cs="Arial"/>
          <w:sz w:val="18"/>
          <w:szCs w:val="18"/>
        </w:rPr>
        <w:t xml:space="preserve"> requirement that decision-makers give ‘proper, genuine and realistic consideration’ to the submissions of affected persons is in limbo for similar reasons to the grounds discussed here: See </w:t>
      </w:r>
      <w:r w:rsidRPr="007D11A4">
        <w:rPr>
          <w:rFonts w:cs="Arial"/>
          <w:i/>
          <w:iCs/>
          <w:sz w:val="18"/>
          <w:szCs w:val="18"/>
        </w:rPr>
        <w:t>Broussard v Minister for Local Government and Ethnic Affairs</w:t>
      </w:r>
      <w:r w:rsidRPr="007D11A4">
        <w:rPr>
          <w:rFonts w:cs="Arial"/>
          <w:sz w:val="18"/>
          <w:szCs w:val="18"/>
        </w:rPr>
        <w:t xml:space="preserve"> (1989) 21 FCR 472 at 483. </w:t>
      </w:r>
    </w:p>
  </w:endnote>
  <w:endnote w:id="119">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Taggart, above n 4, 26.</w:t>
      </w:r>
      <w:proofErr w:type="gramEnd"/>
    </w:p>
  </w:endnote>
  <w:endnote w:id="120">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R v North and East Devon Health Authority; Ex parte Coughlan</w:t>
      </w:r>
      <w:r w:rsidRPr="007D11A4">
        <w:rPr>
          <w:rFonts w:cs="Arial"/>
          <w:sz w:val="18"/>
          <w:szCs w:val="18"/>
        </w:rPr>
        <w:t xml:space="preserve"> [2001] 1 QB 213.</w:t>
      </w:r>
      <w:proofErr w:type="gramEnd"/>
    </w:p>
  </w:endnote>
  <w:endnote w:id="121">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i/>
          <w:iCs/>
          <w:sz w:val="18"/>
          <w:szCs w:val="18"/>
        </w:rPr>
        <w:t>Minister for Immigration and Multicultural Affairs; Ex parte Lam</w:t>
      </w:r>
      <w:r w:rsidRPr="007D11A4">
        <w:rPr>
          <w:rFonts w:cs="Arial"/>
          <w:sz w:val="18"/>
          <w:szCs w:val="18"/>
        </w:rPr>
        <w:t xml:space="preserve"> (2003) 214 CLR 1, 10 [28].</w:t>
      </w:r>
    </w:p>
  </w:endnote>
  <w:endnote w:id="122">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Mason, above n 1, 51.</w:t>
      </w:r>
      <w:proofErr w:type="gramEnd"/>
    </w:p>
  </w:endnote>
  <w:endnote w:id="123">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Gageler</w:t>
      </w:r>
      <w:proofErr w:type="spellEnd"/>
      <w:r w:rsidRPr="007D11A4">
        <w:rPr>
          <w:rFonts w:cs="Arial"/>
          <w:sz w:val="18"/>
          <w:szCs w:val="18"/>
        </w:rPr>
        <w:t>, above n 21, 105.</w:t>
      </w:r>
      <w:proofErr w:type="gramEnd"/>
    </w:p>
  </w:endnote>
  <w:endnote w:id="124">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Sackville, above n 86, 108.</w:t>
      </w:r>
      <w:proofErr w:type="gramEnd"/>
    </w:p>
  </w:endnote>
  <w:endnote w:id="125">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It should be noted that this term is subject to different meanings depending on theorist, context, and whatever counterpoint is being used in the dichotomy in which it is placed.</w:t>
      </w:r>
    </w:p>
  </w:endnote>
  <w:endnote w:id="126">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Goldsworthy, above n 98, 106.</w:t>
      </w:r>
      <w:proofErr w:type="gramEnd"/>
    </w:p>
  </w:endnote>
  <w:endnote w:id="127">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Taggart, above n 4, 8; And see C Howard</w:t>
      </w:r>
      <w:proofErr w:type="gramStart"/>
      <w:r w:rsidRPr="007D11A4">
        <w:rPr>
          <w:rFonts w:cs="Arial"/>
          <w:sz w:val="18"/>
          <w:szCs w:val="18"/>
        </w:rPr>
        <w:t>,  ‘Sir</w:t>
      </w:r>
      <w:proofErr w:type="gramEnd"/>
      <w:r w:rsidRPr="007D11A4">
        <w:rPr>
          <w:rFonts w:cs="Arial"/>
          <w:sz w:val="18"/>
          <w:szCs w:val="18"/>
        </w:rPr>
        <w:t xml:space="preserve"> Owen Dixon and the Constitution’ (1973) 9 </w:t>
      </w:r>
      <w:r w:rsidRPr="007D11A4">
        <w:rPr>
          <w:rFonts w:cs="Arial"/>
          <w:i/>
          <w:iCs/>
          <w:sz w:val="18"/>
          <w:szCs w:val="18"/>
        </w:rPr>
        <w:t>Melbourne University Law Review</w:t>
      </w:r>
      <w:r w:rsidRPr="007D11A4">
        <w:rPr>
          <w:rFonts w:cs="Arial"/>
          <w:sz w:val="18"/>
          <w:szCs w:val="18"/>
        </w:rPr>
        <w:t xml:space="preserve"> 1, 3.</w:t>
      </w:r>
    </w:p>
  </w:endnote>
  <w:endnote w:id="128">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D </w:t>
      </w:r>
      <w:proofErr w:type="spellStart"/>
      <w:r w:rsidRPr="007D11A4">
        <w:rPr>
          <w:rFonts w:cs="Arial"/>
          <w:sz w:val="18"/>
          <w:szCs w:val="18"/>
        </w:rPr>
        <w:t>Heydon</w:t>
      </w:r>
      <w:proofErr w:type="spellEnd"/>
      <w:r w:rsidRPr="007D11A4">
        <w:rPr>
          <w:rFonts w:cs="Arial"/>
          <w:sz w:val="18"/>
          <w:szCs w:val="18"/>
        </w:rPr>
        <w:t xml:space="preserve">, ‘Judicial Activism and the Death of the Rule of Law’ (2003) 23 </w:t>
      </w:r>
      <w:r w:rsidRPr="007D11A4">
        <w:rPr>
          <w:rFonts w:cs="Arial"/>
          <w:i/>
          <w:iCs/>
          <w:sz w:val="18"/>
          <w:szCs w:val="18"/>
        </w:rPr>
        <w:t>Australian Bar Review</w:t>
      </w:r>
      <w:r w:rsidRPr="007D11A4">
        <w:rPr>
          <w:rFonts w:cs="Arial"/>
          <w:sz w:val="18"/>
          <w:szCs w:val="18"/>
        </w:rPr>
        <w:t xml:space="preserve"> 110.</w:t>
      </w:r>
      <w:proofErr w:type="gramEnd"/>
    </w:p>
  </w:endnote>
  <w:endnote w:id="129">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Taggart, above n 4, 8.</w:t>
      </w:r>
      <w:proofErr w:type="gramEnd"/>
    </w:p>
  </w:endnote>
  <w:endnote w:id="130">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J Pierce, </w:t>
      </w:r>
      <w:r w:rsidRPr="007D11A4">
        <w:rPr>
          <w:rFonts w:cs="Arial"/>
          <w:i/>
          <w:iCs/>
          <w:sz w:val="18"/>
          <w:szCs w:val="18"/>
        </w:rPr>
        <w:t>Inside the Mason Court Revolution: the High Court of Australia Transformed</w:t>
      </w:r>
      <w:r w:rsidR="00DE6B96">
        <w:rPr>
          <w:rFonts w:cs="Arial"/>
          <w:sz w:val="18"/>
          <w:szCs w:val="18"/>
        </w:rPr>
        <w:t xml:space="preserve"> (</w:t>
      </w:r>
      <w:r w:rsidRPr="007D11A4">
        <w:rPr>
          <w:rFonts w:cs="Arial"/>
          <w:sz w:val="18"/>
          <w:szCs w:val="18"/>
        </w:rPr>
        <w:t>Carolina Academic Press, 2006), 69–75 and 147.</w:t>
      </w:r>
    </w:p>
  </w:endnote>
  <w:endnote w:id="131">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An uncommon phrase.</w:t>
      </w:r>
      <w:proofErr w:type="gramEnd"/>
    </w:p>
  </w:endnote>
  <w:endnote w:id="132">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Re Minister for Immigration and Multicultural Affairs; Ex parte Applicant S20/2002</w:t>
      </w:r>
      <w:r w:rsidRPr="007D11A4">
        <w:rPr>
          <w:rFonts w:cs="Arial"/>
          <w:sz w:val="18"/>
          <w:szCs w:val="18"/>
        </w:rPr>
        <w:t xml:space="preserve"> (2003) 198 ALR 59, [122] and [156]-[168].</w:t>
      </w:r>
      <w:proofErr w:type="gramEnd"/>
    </w:p>
  </w:endnote>
  <w:endnote w:id="133">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J </w:t>
      </w:r>
      <w:proofErr w:type="spellStart"/>
      <w:r w:rsidRPr="007D11A4">
        <w:rPr>
          <w:rFonts w:cs="Arial"/>
          <w:sz w:val="18"/>
          <w:szCs w:val="18"/>
        </w:rPr>
        <w:t>Varuhas</w:t>
      </w:r>
      <w:proofErr w:type="spellEnd"/>
      <w:r w:rsidRPr="007D11A4">
        <w:rPr>
          <w:rFonts w:cs="Arial"/>
          <w:sz w:val="18"/>
          <w:szCs w:val="18"/>
        </w:rPr>
        <w:t xml:space="preserve">, ‘Book Review: A Simple Common Lawyer: Essays in Honour of Michael Taggart’ (2009) 20 </w:t>
      </w:r>
      <w:r w:rsidRPr="007D11A4">
        <w:rPr>
          <w:rFonts w:cs="Arial"/>
          <w:i/>
          <w:iCs/>
          <w:sz w:val="18"/>
          <w:szCs w:val="18"/>
        </w:rPr>
        <w:t>Public Law Review</w:t>
      </w:r>
      <w:r w:rsidRPr="007D11A4">
        <w:rPr>
          <w:rFonts w:cs="Arial"/>
          <w:sz w:val="18"/>
          <w:szCs w:val="18"/>
        </w:rPr>
        <w:t xml:space="preserve"> 233.</w:t>
      </w:r>
    </w:p>
  </w:endnote>
  <w:endnote w:id="134">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K Mason, ‘What is </w:t>
      </w:r>
      <w:proofErr w:type="gramStart"/>
      <w:r w:rsidRPr="007D11A4">
        <w:rPr>
          <w:rFonts w:cs="Arial"/>
          <w:sz w:val="18"/>
          <w:szCs w:val="18"/>
        </w:rPr>
        <w:t>Wrong</w:t>
      </w:r>
      <w:proofErr w:type="gramEnd"/>
      <w:r w:rsidRPr="007D11A4">
        <w:rPr>
          <w:rFonts w:cs="Arial"/>
          <w:sz w:val="18"/>
          <w:szCs w:val="18"/>
        </w:rPr>
        <w:t xml:space="preserve"> with Top-Down Legal Reasoning?’ </w:t>
      </w:r>
      <w:proofErr w:type="gramStart"/>
      <w:r w:rsidRPr="007D11A4">
        <w:rPr>
          <w:rFonts w:cs="Arial"/>
          <w:sz w:val="18"/>
          <w:szCs w:val="18"/>
        </w:rPr>
        <w:t xml:space="preserve">(2004) 78 </w:t>
      </w:r>
      <w:r w:rsidRPr="007D11A4">
        <w:rPr>
          <w:rFonts w:cs="Arial"/>
          <w:i/>
          <w:iCs/>
          <w:sz w:val="18"/>
          <w:szCs w:val="18"/>
        </w:rPr>
        <w:t>Australian Law Journal</w:t>
      </w:r>
      <w:r w:rsidRPr="007D11A4">
        <w:rPr>
          <w:rFonts w:cs="Arial"/>
          <w:sz w:val="18"/>
          <w:szCs w:val="18"/>
        </w:rPr>
        <w:t xml:space="preserve"> 574.</w:t>
      </w:r>
      <w:proofErr w:type="gramEnd"/>
    </w:p>
  </w:endnote>
  <w:endnote w:id="135">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S </w:t>
      </w:r>
      <w:proofErr w:type="spellStart"/>
      <w:r w:rsidRPr="007D11A4">
        <w:rPr>
          <w:rFonts w:cs="Arial"/>
          <w:sz w:val="18"/>
          <w:szCs w:val="18"/>
        </w:rPr>
        <w:t>Gageler</w:t>
      </w:r>
      <w:proofErr w:type="spellEnd"/>
      <w:r w:rsidRPr="007D11A4">
        <w:rPr>
          <w:rFonts w:cs="Arial"/>
          <w:sz w:val="18"/>
          <w:szCs w:val="18"/>
        </w:rPr>
        <w:t>, ‘</w:t>
      </w:r>
      <w:proofErr w:type="gramStart"/>
      <w:r w:rsidRPr="007D11A4">
        <w:rPr>
          <w:rFonts w:cs="Arial"/>
          <w:sz w:val="18"/>
          <w:szCs w:val="18"/>
        </w:rPr>
        <w:t>The</w:t>
      </w:r>
      <w:proofErr w:type="gramEnd"/>
      <w:r w:rsidRPr="007D11A4">
        <w:rPr>
          <w:rFonts w:cs="Arial"/>
          <w:sz w:val="18"/>
          <w:szCs w:val="18"/>
        </w:rPr>
        <w:t xml:space="preserve"> Underpinnings of Judicial Review of Administrative Action: Common Law or </w:t>
      </w:r>
      <w:r w:rsidRPr="007D11A4">
        <w:rPr>
          <w:rFonts w:cs="Arial"/>
          <w:i/>
          <w:iCs/>
          <w:sz w:val="18"/>
          <w:szCs w:val="18"/>
        </w:rPr>
        <w:t>Constitution?</w:t>
      </w:r>
      <w:r w:rsidRPr="007D11A4">
        <w:rPr>
          <w:rFonts w:cs="Arial"/>
          <w:sz w:val="18"/>
          <w:szCs w:val="18"/>
        </w:rPr>
        <w:t xml:space="preserve">’ </w:t>
      </w:r>
      <w:proofErr w:type="gramStart"/>
      <w:r w:rsidRPr="007D11A4">
        <w:rPr>
          <w:rFonts w:cs="Arial"/>
          <w:sz w:val="18"/>
          <w:szCs w:val="18"/>
        </w:rPr>
        <w:t xml:space="preserve">(2000) 28 </w:t>
      </w:r>
      <w:r w:rsidRPr="007D11A4">
        <w:rPr>
          <w:rFonts w:cs="Arial"/>
          <w:i/>
          <w:iCs/>
          <w:sz w:val="18"/>
          <w:szCs w:val="18"/>
        </w:rPr>
        <w:t>Federal Law Review</w:t>
      </w:r>
      <w:r w:rsidRPr="007D11A4">
        <w:rPr>
          <w:rFonts w:cs="Arial"/>
          <w:sz w:val="18"/>
          <w:szCs w:val="18"/>
        </w:rPr>
        <w:t xml:space="preserve"> 303.</w:t>
      </w:r>
      <w:proofErr w:type="gramEnd"/>
    </w:p>
  </w:endnote>
  <w:endnote w:id="136">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S </w:t>
      </w:r>
      <w:proofErr w:type="spellStart"/>
      <w:r w:rsidRPr="007D11A4">
        <w:rPr>
          <w:rFonts w:cs="Arial"/>
          <w:sz w:val="18"/>
          <w:szCs w:val="18"/>
        </w:rPr>
        <w:t>Gageler</w:t>
      </w:r>
      <w:proofErr w:type="spellEnd"/>
      <w:r w:rsidRPr="007D11A4">
        <w:rPr>
          <w:rFonts w:cs="Arial"/>
          <w:sz w:val="18"/>
          <w:szCs w:val="18"/>
        </w:rPr>
        <w:t>, ‘</w:t>
      </w:r>
      <w:proofErr w:type="gramStart"/>
      <w:r w:rsidRPr="007D11A4">
        <w:rPr>
          <w:rFonts w:cs="Arial"/>
          <w:sz w:val="18"/>
          <w:szCs w:val="18"/>
        </w:rPr>
        <w:t>The</w:t>
      </w:r>
      <w:proofErr w:type="gramEnd"/>
      <w:r w:rsidRPr="007D11A4">
        <w:rPr>
          <w:rFonts w:cs="Arial"/>
          <w:sz w:val="18"/>
          <w:szCs w:val="18"/>
        </w:rPr>
        <w:t xml:space="preserve"> Legitimate Scope of Judicial Review: The Prequel’ (2005) 26 </w:t>
      </w:r>
      <w:r w:rsidRPr="007D11A4">
        <w:rPr>
          <w:rFonts w:cs="Arial"/>
          <w:i/>
          <w:iCs/>
          <w:sz w:val="18"/>
          <w:szCs w:val="18"/>
        </w:rPr>
        <w:t>Australian Bar Review</w:t>
      </w:r>
      <w:r w:rsidRPr="007D11A4">
        <w:rPr>
          <w:rFonts w:cs="Arial"/>
          <w:sz w:val="18"/>
          <w:szCs w:val="18"/>
        </w:rPr>
        <w:t xml:space="preserve"> 5, 16.</w:t>
      </w:r>
    </w:p>
  </w:endnote>
  <w:endnote w:id="137">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Gageler</w:t>
      </w:r>
      <w:proofErr w:type="spellEnd"/>
      <w:r w:rsidRPr="007D11A4">
        <w:rPr>
          <w:rFonts w:cs="Arial"/>
          <w:sz w:val="18"/>
          <w:szCs w:val="18"/>
        </w:rPr>
        <w:t>, above n 62.</w:t>
      </w:r>
      <w:proofErr w:type="gramEnd"/>
    </w:p>
  </w:endnote>
  <w:endnote w:id="138">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S Kenny, ‘The High Court of Australia and Modes of Constitutional Interpretation’ in </w:t>
      </w:r>
      <w:r w:rsidRPr="007D11A4">
        <w:rPr>
          <w:rFonts w:cs="Arial"/>
          <w:i/>
          <w:iCs/>
          <w:sz w:val="18"/>
          <w:szCs w:val="18"/>
        </w:rPr>
        <w:t xml:space="preserve">Statutory Interpretation: Principles and Pragmatism for a New Age </w:t>
      </w:r>
      <w:r w:rsidRPr="007D11A4">
        <w:rPr>
          <w:rFonts w:cs="Arial"/>
          <w:sz w:val="18"/>
          <w:szCs w:val="18"/>
        </w:rPr>
        <w:t>(Judicial Commission of NSW, 2007), 2, 46.</w:t>
      </w:r>
    </w:p>
  </w:endnote>
  <w:endnote w:id="139">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I am following Susan Kenny’s approach here: Ibid, 49.</w:t>
      </w:r>
    </w:p>
  </w:endnote>
  <w:endnote w:id="140">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A Stone</w:t>
      </w:r>
      <w:proofErr w:type="gramStart"/>
      <w:r w:rsidRPr="007D11A4">
        <w:rPr>
          <w:rFonts w:cs="Arial"/>
          <w:sz w:val="18"/>
          <w:szCs w:val="18"/>
        </w:rPr>
        <w:t>,  ‘Australia’s</w:t>
      </w:r>
      <w:proofErr w:type="gramEnd"/>
      <w:r w:rsidRPr="007D11A4">
        <w:rPr>
          <w:rFonts w:cs="Arial"/>
          <w:sz w:val="18"/>
          <w:szCs w:val="18"/>
        </w:rPr>
        <w:t xml:space="preserve"> Constitutional Rights and the Problem of Interpretive Disagreement’ (2005) 27 </w:t>
      </w:r>
      <w:r w:rsidRPr="007D11A4">
        <w:rPr>
          <w:rFonts w:cs="Arial"/>
          <w:i/>
          <w:iCs/>
          <w:sz w:val="18"/>
          <w:szCs w:val="18"/>
        </w:rPr>
        <w:t>Sydney Law Review</w:t>
      </w:r>
      <w:r w:rsidRPr="007D11A4">
        <w:rPr>
          <w:rFonts w:cs="Arial"/>
          <w:sz w:val="18"/>
          <w:szCs w:val="18"/>
        </w:rPr>
        <w:t xml:space="preserve"> 29, 41.</w:t>
      </w:r>
    </w:p>
  </w:endnote>
  <w:endnote w:id="141">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Kenny, above n 136, 53–4.</w:t>
      </w:r>
      <w:proofErr w:type="gramEnd"/>
    </w:p>
  </w:endnote>
  <w:endnote w:id="142">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Eastman v The Queen</w:t>
      </w:r>
      <w:r w:rsidRPr="007D11A4">
        <w:rPr>
          <w:rFonts w:cs="Arial"/>
          <w:sz w:val="18"/>
          <w:szCs w:val="18"/>
        </w:rPr>
        <w:t xml:space="preserve"> (2000) 203 CLR 1, [46] (McHugh J).</w:t>
      </w:r>
      <w:proofErr w:type="gramEnd"/>
    </w:p>
  </w:endnote>
  <w:endnote w:id="143">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R Kay, ‘Original Intention and Public Meaning in Constitutional Interpretation’ (2009) 103 </w:t>
      </w:r>
      <w:proofErr w:type="spellStart"/>
      <w:r w:rsidRPr="007D11A4">
        <w:rPr>
          <w:rFonts w:cs="Arial"/>
          <w:i/>
          <w:iCs/>
          <w:sz w:val="18"/>
          <w:szCs w:val="18"/>
        </w:rPr>
        <w:t>Northwestern</w:t>
      </w:r>
      <w:proofErr w:type="spellEnd"/>
      <w:r w:rsidRPr="007D11A4">
        <w:rPr>
          <w:rFonts w:cs="Arial"/>
          <w:i/>
          <w:iCs/>
          <w:sz w:val="18"/>
          <w:szCs w:val="18"/>
        </w:rPr>
        <w:t xml:space="preserve"> University Law Review</w:t>
      </w:r>
      <w:r w:rsidRPr="007D11A4">
        <w:rPr>
          <w:rFonts w:cs="Arial"/>
          <w:sz w:val="18"/>
          <w:szCs w:val="18"/>
        </w:rPr>
        <w:t xml:space="preserve"> 703.</w:t>
      </w:r>
      <w:proofErr w:type="gramEnd"/>
    </w:p>
  </w:endnote>
  <w:endnote w:id="144">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Theophanous v Herald &amp; Weekly Times Ltd</w:t>
      </w:r>
      <w:r w:rsidRPr="007D11A4">
        <w:rPr>
          <w:rFonts w:cs="Arial"/>
          <w:sz w:val="18"/>
          <w:szCs w:val="18"/>
        </w:rPr>
        <w:t xml:space="preserve"> (1994) 182 CLR 104, 196 (McHugh J).</w:t>
      </w:r>
      <w:proofErr w:type="gramEnd"/>
    </w:p>
  </w:endnote>
  <w:endnote w:id="145">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 xml:space="preserve">Amalgamated Society of Engineers v Adelaide Steamship Company Ltd </w:t>
      </w:r>
      <w:r w:rsidRPr="007D11A4">
        <w:rPr>
          <w:rFonts w:cs="Arial"/>
          <w:sz w:val="18"/>
          <w:szCs w:val="18"/>
        </w:rPr>
        <w:t>(1920) 28 CLR 129.</w:t>
      </w:r>
      <w:proofErr w:type="gramEnd"/>
    </w:p>
  </w:endnote>
  <w:endnote w:id="146">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Kenny, above n 136, 53–4.</w:t>
      </w:r>
      <w:proofErr w:type="gramEnd"/>
    </w:p>
  </w:endnote>
  <w:endnote w:id="147">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G Craven, ‘Original Intent and the Australian Constitution – Coming Soon to a Court </w:t>
      </w:r>
      <w:proofErr w:type="gramStart"/>
      <w:r w:rsidRPr="007D11A4">
        <w:rPr>
          <w:rFonts w:cs="Arial"/>
          <w:sz w:val="18"/>
          <w:szCs w:val="18"/>
        </w:rPr>
        <w:t>Near</w:t>
      </w:r>
      <w:proofErr w:type="gramEnd"/>
      <w:r w:rsidRPr="007D11A4">
        <w:rPr>
          <w:rFonts w:cs="Arial"/>
          <w:sz w:val="18"/>
          <w:szCs w:val="18"/>
        </w:rPr>
        <w:t xml:space="preserve"> You?’ </w:t>
      </w:r>
      <w:proofErr w:type="gramStart"/>
      <w:r w:rsidRPr="007D11A4">
        <w:rPr>
          <w:rFonts w:cs="Arial"/>
          <w:sz w:val="18"/>
          <w:szCs w:val="18"/>
        </w:rPr>
        <w:t xml:space="preserve">(1990) 1 </w:t>
      </w:r>
      <w:r w:rsidRPr="007D11A4">
        <w:rPr>
          <w:rFonts w:cs="Arial"/>
          <w:i/>
          <w:iCs/>
          <w:sz w:val="18"/>
          <w:szCs w:val="18"/>
        </w:rPr>
        <w:t>Public Law Review</w:t>
      </w:r>
      <w:r w:rsidRPr="007D11A4">
        <w:rPr>
          <w:rFonts w:cs="Arial"/>
          <w:sz w:val="18"/>
          <w:szCs w:val="18"/>
        </w:rPr>
        <w:t xml:space="preserve"> 166.</w:t>
      </w:r>
      <w:proofErr w:type="gramEnd"/>
    </w:p>
  </w:endnote>
  <w:endnote w:id="148">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Following </w:t>
      </w:r>
      <w:r w:rsidRPr="007D11A4">
        <w:rPr>
          <w:rFonts w:cs="Arial"/>
          <w:i/>
          <w:iCs/>
          <w:sz w:val="18"/>
          <w:szCs w:val="18"/>
        </w:rPr>
        <w:t>Cole v Whitfield</w:t>
      </w:r>
      <w:r w:rsidRPr="007D11A4">
        <w:rPr>
          <w:rFonts w:cs="Arial"/>
          <w:sz w:val="18"/>
          <w:szCs w:val="18"/>
        </w:rPr>
        <w:t xml:space="preserve"> (1988) 165 CLR 360.</w:t>
      </w:r>
      <w:proofErr w:type="gramEnd"/>
    </w:p>
  </w:endnote>
  <w:endnote w:id="149">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 xml:space="preserve">Re </w:t>
      </w:r>
      <w:proofErr w:type="spellStart"/>
      <w:r w:rsidRPr="007D11A4">
        <w:rPr>
          <w:rFonts w:cs="Arial"/>
          <w:i/>
          <w:iCs/>
          <w:sz w:val="18"/>
          <w:szCs w:val="18"/>
        </w:rPr>
        <w:t>Wakim</w:t>
      </w:r>
      <w:proofErr w:type="spellEnd"/>
      <w:r w:rsidRPr="007D11A4">
        <w:rPr>
          <w:rFonts w:cs="Arial"/>
          <w:i/>
          <w:iCs/>
          <w:sz w:val="18"/>
          <w:szCs w:val="18"/>
        </w:rPr>
        <w:t>; Ex parte McNally</w:t>
      </w:r>
      <w:r w:rsidRPr="007D11A4">
        <w:rPr>
          <w:rFonts w:cs="Arial"/>
          <w:sz w:val="18"/>
          <w:szCs w:val="18"/>
        </w:rPr>
        <w:t xml:space="preserve"> (1999) 198 CLR 551, 551 (McHugh J).</w:t>
      </w:r>
      <w:proofErr w:type="gramEnd"/>
    </w:p>
  </w:endnote>
  <w:endnote w:id="150">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T </w:t>
      </w:r>
      <w:proofErr w:type="spellStart"/>
      <w:r w:rsidRPr="007D11A4">
        <w:rPr>
          <w:rFonts w:cs="Arial"/>
          <w:sz w:val="18"/>
          <w:szCs w:val="18"/>
        </w:rPr>
        <w:t>Blackshield</w:t>
      </w:r>
      <w:proofErr w:type="spellEnd"/>
      <w:r w:rsidRPr="007D11A4">
        <w:rPr>
          <w:rFonts w:cs="Arial"/>
          <w:sz w:val="18"/>
          <w:szCs w:val="18"/>
        </w:rPr>
        <w:t xml:space="preserve"> and G Williams</w:t>
      </w:r>
      <w:proofErr w:type="gramStart"/>
      <w:r w:rsidRPr="007D11A4">
        <w:rPr>
          <w:rFonts w:cs="Arial"/>
          <w:sz w:val="18"/>
          <w:szCs w:val="18"/>
        </w:rPr>
        <w:t xml:space="preserve">,  </w:t>
      </w:r>
      <w:r w:rsidRPr="007D11A4">
        <w:rPr>
          <w:rFonts w:cs="Arial"/>
          <w:i/>
          <w:iCs/>
          <w:sz w:val="18"/>
          <w:szCs w:val="18"/>
        </w:rPr>
        <w:t>Australian</w:t>
      </w:r>
      <w:proofErr w:type="gramEnd"/>
      <w:r w:rsidRPr="007D11A4">
        <w:rPr>
          <w:rFonts w:cs="Arial"/>
          <w:i/>
          <w:iCs/>
          <w:sz w:val="18"/>
          <w:szCs w:val="18"/>
        </w:rPr>
        <w:t xml:space="preserve"> Constitutional Law and Theory: Commentary and Materials</w:t>
      </w:r>
      <w:r w:rsidRPr="007D11A4">
        <w:rPr>
          <w:rFonts w:cs="Arial"/>
          <w:sz w:val="18"/>
          <w:szCs w:val="18"/>
        </w:rPr>
        <w:t xml:space="preserve">, (5th </w:t>
      </w:r>
      <w:proofErr w:type="spellStart"/>
      <w:r w:rsidRPr="007D11A4">
        <w:rPr>
          <w:rFonts w:cs="Arial"/>
          <w:sz w:val="18"/>
          <w:szCs w:val="18"/>
        </w:rPr>
        <w:t>ed</w:t>
      </w:r>
      <w:proofErr w:type="spellEnd"/>
      <w:r w:rsidRPr="007D11A4">
        <w:rPr>
          <w:rFonts w:cs="Arial"/>
          <w:sz w:val="18"/>
          <w:szCs w:val="18"/>
        </w:rPr>
        <w:t>), (Federation Press, 2010) 291.</w:t>
      </w:r>
    </w:p>
  </w:endnote>
  <w:endnote w:id="151">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But note John </w:t>
      </w:r>
      <w:proofErr w:type="spellStart"/>
      <w:r w:rsidRPr="007D11A4">
        <w:rPr>
          <w:rFonts w:cs="Arial"/>
          <w:sz w:val="18"/>
          <w:szCs w:val="18"/>
        </w:rPr>
        <w:t>Basten’s</w:t>
      </w:r>
      <w:proofErr w:type="spellEnd"/>
      <w:r w:rsidRPr="007D11A4">
        <w:rPr>
          <w:rFonts w:cs="Arial"/>
          <w:sz w:val="18"/>
          <w:szCs w:val="18"/>
        </w:rPr>
        <w:t xml:space="preserve"> brooding retort that ‘appeals to history are rarely what they appear to be’: </w:t>
      </w:r>
      <w:proofErr w:type="spellStart"/>
      <w:r w:rsidRPr="007D11A4">
        <w:rPr>
          <w:rFonts w:cs="Arial"/>
          <w:sz w:val="18"/>
          <w:szCs w:val="18"/>
        </w:rPr>
        <w:t>Basten</w:t>
      </w:r>
      <w:proofErr w:type="spellEnd"/>
      <w:r w:rsidRPr="007D11A4">
        <w:rPr>
          <w:rFonts w:cs="Arial"/>
          <w:sz w:val="18"/>
          <w:szCs w:val="18"/>
        </w:rPr>
        <w:t xml:space="preserve">, above n 55, 280. </w:t>
      </w:r>
    </w:p>
  </w:endnote>
  <w:endnote w:id="152">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C Saunders, ‘Interpreting the Constitution’ (2004) 15 </w:t>
      </w:r>
      <w:r w:rsidRPr="007D11A4">
        <w:rPr>
          <w:rFonts w:cs="Arial"/>
          <w:i/>
          <w:iCs/>
          <w:sz w:val="18"/>
          <w:szCs w:val="18"/>
        </w:rPr>
        <w:t xml:space="preserve">Public Law Review </w:t>
      </w:r>
      <w:r w:rsidRPr="007D11A4">
        <w:rPr>
          <w:rFonts w:cs="Arial"/>
          <w:sz w:val="18"/>
          <w:szCs w:val="18"/>
        </w:rPr>
        <w:t>289, 293.</w:t>
      </w:r>
      <w:proofErr w:type="gramEnd"/>
    </w:p>
  </w:endnote>
  <w:endnote w:id="153">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Saunders, above n 151, 293.</w:t>
      </w:r>
      <w:proofErr w:type="gramEnd"/>
    </w:p>
  </w:endnote>
  <w:endnote w:id="154">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Kenny, above n 136, 63.</w:t>
      </w:r>
      <w:proofErr w:type="gramEnd"/>
    </w:p>
  </w:endnote>
  <w:endnote w:id="155">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Saunders, above n 151, 293.</w:t>
      </w:r>
      <w:proofErr w:type="gramEnd"/>
    </w:p>
  </w:endnote>
  <w:endnote w:id="156">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Kenny, above n 136, 74.</w:t>
      </w:r>
      <w:proofErr w:type="gramEnd"/>
    </w:p>
  </w:endnote>
  <w:endnote w:id="157">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P Bobbitt, </w:t>
      </w:r>
      <w:r w:rsidRPr="007D11A4">
        <w:rPr>
          <w:rFonts w:cs="Arial"/>
          <w:i/>
          <w:iCs/>
          <w:sz w:val="18"/>
          <w:szCs w:val="18"/>
        </w:rPr>
        <w:t>Constitutional Fate: Theory of the Constitution</w:t>
      </w:r>
      <w:r w:rsidRPr="007D11A4">
        <w:rPr>
          <w:rFonts w:cs="Arial"/>
          <w:sz w:val="18"/>
          <w:szCs w:val="18"/>
        </w:rPr>
        <w:t xml:space="preserve"> (Oxford University Press, New York, </w:t>
      </w:r>
      <w:proofErr w:type="gramStart"/>
      <w:r w:rsidRPr="007D11A4">
        <w:rPr>
          <w:rFonts w:cs="Arial"/>
          <w:sz w:val="18"/>
          <w:szCs w:val="18"/>
        </w:rPr>
        <w:t>1982:</w:t>
      </w:r>
      <w:proofErr w:type="gramEnd"/>
      <w:r w:rsidRPr="007D11A4">
        <w:rPr>
          <w:rFonts w:cs="Arial"/>
          <w:sz w:val="18"/>
          <w:szCs w:val="18"/>
        </w:rPr>
        <w:t>) 7 ff.</w:t>
      </w:r>
    </w:p>
  </w:endnote>
  <w:endnote w:id="158">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i/>
          <w:iCs/>
          <w:sz w:val="18"/>
          <w:szCs w:val="18"/>
        </w:rPr>
        <w:t>McGinty</w:t>
      </w:r>
      <w:proofErr w:type="spellEnd"/>
      <w:r w:rsidRPr="007D11A4">
        <w:rPr>
          <w:rFonts w:cs="Arial"/>
          <w:i/>
          <w:iCs/>
          <w:sz w:val="18"/>
          <w:szCs w:val="18"/>
        </w:rPr>
        <w:t xml:space="preserve"> v Western Australia</w:t>
      </w:r>
      <w:r w:rsidRPr="007D11A4">
        <w:rPr>
          <w:rFonts w:cs="Arial"/>
          <w:sz w:val="18"/>
          <w:szCs w:val="18"/>
        </w:rPr>
        <w:t xml:space="preserve"> (1996) 186 CLR 140, 230 (McHugh J).</w:t>
      </w:r>
      <w:proofErr w:type="gramEnd"/>
    </w:p>
  </w:endnote>
  <w:endnote w:id="159">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i/>
          <w:iCs/>
          <w:sz w:val="18"/>
          <w:szCs w:val="18"/>
        </w:rPr>
        <w:t>Al-</w:t>
      </w:r>
      <w:proofErr w:type="spellStart"/>
      <w:r w:rsidRPr="007D11A4">
        <w:rPr>
          <w:rFonts w:cs="Arial"/>
          <w:i/>
          <w:iCs/>
          <w:sz w:val="18"/>
          <w:szCs w:val="18"/>
        </w:rPr>
        <w:t>Kateb</w:t>
      </w:r>
      <w:proofErr w:type="spellEnd"/>
      <w:r w:rsidRPr="007D11A4">
        <w:rPr>
          <w:rFonts w:cs="Arial"/>
          <w:i/>
          <w:iCs/>
          <w:sz w:val="18"/>
          <w:szCs w:val="18"/>
        </w:rPr>
        <w:t xml:space="preserve"> v Godwin</w:t>
      </w:r>
      <w:r w:rsidRPr="007D11A4">
        <w:rPr>
          <w:rFonts w:cs="Arial"/>
          <w:sz w:val="18"/>
          <w:szCs w:val="18"/>
        </w:rPr>
        <w:t xml:space="preserve"> (2004) 219 CLR 562, 624 (Kirby J); M Kirby, ‘Constitutional Law and International Law: National </w:t>
      </w:r>
      <w:proofErr w:type="spellStart"/>
      <w:r w:rsidRPr="007D11A4">
        <w:rPr>
          <w:rFonts w:cs="Arial"/>
          <w:sz w:val="18"/>
          <w:szCs w:val="18"/>
        </w:rPr>
        <w:t>Exceptionalism</w:t>
      </w:r>
      <w:proofErr w:type="spellEnd"/>
      <w:r w:rsidRPr="007D11A4">
        <w:rPr>
          <w:rFonts w:cs="Arial"/>
          <w:sz w:val="18"/>
          <w:szCs w:val="18"/>
        </w:rPr>
        <w:t xml:space="preserve"> and the Democratic Deficit’ (2010) 12 </w:t>
      </w:r>
      <w:r w:rsidRPr="007D11A4">
        <w:rPr>
          <w:rFonts w:cs="Arial"/>
          <w:i/>
          <w:iCs/>
          <w:sz w:val="18"/>
          <w:szCs w:val="18"/>
        </w:rPr>
        <w:t>University of Notre Dame Australia Law Review</w:t>
      </w:r>
      <w:r w:rsidRPr="007D11A4">
        <w:rPr>
          <w:rFonts w:cs="Arial"/>
          <w:sz w:val="18"/>
          <w:szCs w:val="18"/>
        </w:rPr>
        <w:t xml:space="preserve"> 95, 122; </w:t>
      </w:r>
      <w:proofErr w:type="spellStart"/>
      <w:r w:rsidRPr="007D11A4">
        <w:rPr>
          <w:rFonts w:cs="Arial"/>
          <w:sz w:val="18"/>
          <w:szCs w:val="18"/>
        </w:rPr>
        <w:t>Dyzenhaus</w:t>
      </w:r>
      <w:proofErr w:type="spellEnd"/>
      <w:r w:rsidRPr="007D11A4">
        <w:rPr>
          <w:rFonts w:cs="Arial"/>
          <w:sz w:val="18"/>
          <w:szCs w:val="18"/>
        </w:rPr>
        <w:t xml:space="preserve">, Hunt and Taggart, above n 115, 34; A-M Slaughter, ‘Judicial Globalization’ (2000) 40 </w:t>
      </w:r>
      <w:r w:rsidRPr="007D11A4">
        <w:rPr>
          <w:rFonts w:cs="Arial"/>
          <w:i/>
          <w:iCs/>
          <w:sz w:val="18"/>
          <w:szCs w:val="18"/>
        </w:rPr>
        <w:t>Virginia Journal of International Law</w:t>
      </w:r>
      <w:r w:rsidRPr="007D11A4">
        <w:rPr>
          <w:rFonts w:cs="Arial"/>
          <w:sz w:val="18"/>
          <w:szCs w:val="18"/>
        </w:rPr>
        <w:t xml:space="preserve"> 1102.</w:t>
      </w:r>
    </w:p>
  </w:endnote>
  <w:endnote w:id="160">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Eastman v The Queen</w:t>
      </w:r>
      <w:r w:rsidRPr="007D11A4">
        <w:rPr>
          <w:rFonts w:cs="Arial"/>
          <w:sz w:val="18"/>
          <w:szCs w:val="18"/>
        </w:rPr>
        <w:t xml:space="preserve"> (2000) 203 CLR 1, [50] (McHugh J).</w:t>
      </w:r>
      <w:proofErr w:type="gramEnd"/>
    </w:p>
  </w:endnote>
  <w:endnote w:id="161">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Brownlee v The Queen</w:t>
      </w:r>
      <w:r w:rsidRPr="007D11A4">
        <w:rPr>
          <w:rFonts w:cs="Arial"/>
          <w:sz w:val="18"/>
          <w:szCs w:val="18"/>
        </w:rPr>
        <w:t xml:space="preserve"> (2001) 207 CLR 278, [314] (Kirby J).</w:t>
      </w:r>
      <w:proofErr w:type="gramEnd"/>
    </w:p>
  </w:endnote>
  <w:endnote w:id="162">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All while remaining within an established minimal framework that cannot be circumvented: J </w:t>
      </w:r>
      <w:proofErr w:type="spellStart"/>
      <w:r w:rsidRPr="007D11A4">
        <w:rPr>
          <w:rFonts w:cs="Arial"/>
          <w:sz w:val="18"/>
          <w:szCs w:val="18"/>
        </w:rPr>
        <w:t>Balkin</w:t>
      </w:r>
      <w:proofErr w:type="spellEnd"/>
      <w:r w:rsidRPr="007D11A4">
        <w:rPr>
          <w:rFonts w:cs="Arial"/>
          <w:sz w:val="18"/>
          <w:szCs w:val="18"/>
        </w:rPr>
        <w:t xml:space="preserve">, ‘Original Meaning and Constitutional Redemption’ (2007) 24 </w:t>
      </w:r>
      <w:r w:rsidRPr="007D11A4">
        <w:rPr>
          <w:rFonts w:cs="Arial"/>
          <w:i/>
          <w:iCs/>
          <w:sz w:val="18"/>
          <w:szCs w:val="18"/>
        </w:rPr>
        <w:t>Constitutional Commentary</w:t>
      </w:r>
      <w:r w:rsidRPr="007D11A4">
        <w:rPr>
          <w:rFonts w:cs="Arial"/>
          <w:sz w:val="18"/>
          <w:szCs w:val="18"/>
        </w:rPr>
        <w:t xml:space="preserve"> 427.</w:t>
      </w:r>
    </w:p>
  </w:endnote>
  <w:endnote w:id="163">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J Goldsworthy, ‘</w:t>
      </w:r>
      <w:proofErr w:type="spellStart"/>
      <w:r w:rsidRPr="007D11A4">
        <w:rPr>
          <w:rFonts w:cs="Arial"/>
          <w:sz w:val="18"/>
          <w:szCs w:val="18"/>
        </w:rPr>
        <w:t>Originalism</w:t>
      </w:r>
      <w:proofErr w:type="spellEnd"/>
      <w:r w:rsidRPr="007D11A4">
        <w:rPr>
          <w:rFonts w:cs="Arial"/>
          <w:sz w:val="18"/>
          <w:szCs w:val="18"/>
        </w:rPr>
        <w:t xml:space="preserve"> in Constitutional Interpretation’ (1997) 25 </w:t>
      </w:r>
      <w:r w:rsidRPr="007D11A4">
        <w:rPr>
          <w:rFonts w:cs="Arial"/>
          <w:i/>
          <w:iCs/>
          <w:sz w:val="18"/>
          <w:szCs w:val="18"/>
        </w:rPr>
        <w:t>Federal Law Review</w:t>
      </w:r>
      <w:r w:rsidRPr="007D11A4">
        <w:rPr>
          <w:rFonts w:cs="Arial"/>
          <w:sz w:val="18"/>
          <w:szCs w:val="18"/>
        </w:rPr>
        <w:t xml:space="preserve"> 1.</w:t>
      </w:r>
      <w:proofErr w:type="gramEnd"/>
    </w:p>
  </w:endnote>
  <w:endnote w:id="164">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G Craven, </w:t>
      </w:r>
      <w:r w:rsidRPr="007D11A4">
        <w:rPr>
          <w:rFonts w:cs="Arial"/>
          <w:i/>
          <w:iCs/>
          <w:sz w:val="18"/>
          <w:szCs w:val="18"/>
        </w:rPr>
        <w:t>Conversations with the Constitution</w:t>
      </w:r>
      <w:r w:rsidR="00DE6B96">
        <w:rPr>
          <w:rFonts w:cs="Arial"/>
          <w:sz w:val="18"/>
          <w:szCs w:val="18"/>
        </w:rPr>
        <w:t xml:space="preserve"> (</w:t>
      </w:r>
      <w:r w:rsidRPr="007D11A4">
        <w:rPr>
          <w:rFonts w:cs="Arial"/>
          <w:sz w:val="18"/>
          <w:szCs w:val="18"/>
        </w:rPr>
        <w:t>University of New South Wales Press</w:t>
      </w:r>
      <w:r w:rsidR="00DE6B96">
        <w:rPr>
          <w:rFonts w:cs="Arial"/>
          <w:sz w:val="18"/>
          <w:szCs w:val="18"/>
        </w:rPr>
        <w:t>, 2004</w:t>
      </w:r>
      <w:r w:rsidRPr="007D11A4">
        <w:rPr>
          <w:rFonts w:cs="Arial"/>
          <w:sz w:val="18"/>
          <w:szCs w:val="18"/>
        </w:rPr>
        <w:t>) 156–64.</w:t>
      </w:r>
      <w:proofErr w:type="gramEnd"/>
    </w:p>
  </w:endnote>
  <w:endnote w:id="165">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Blackshield</w:t>
      </w:r>
      <w:proofErr w:type="spellEnd"/>
      <w:r w:rsidRPr="007D11A4">
        <w:rPr>
          <w:rFonts w:cs="Arial"/>
          <w:sz w:val="18"/>
          <w:szCs w:val="18"/>
        </w:rPr>
        <w:t xml:space="preserve"> and Williams, above n 148, 291.</w:t>
      </w:r>
      <w:proofErr w:type="gramEnd"/>
    </w:p>
  </w:endnote>
  <w:endnote w:id="166">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Gleeson, above n 93, 5.</w:t>
      </w:r>
      <w:proofErr w:type="gramEnd"/>
    </w:p>
  </w:endnote>
  <w:endnote w:id="167">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M </w:t>
      </w:r>
      <w:proofErr w:type="spellStart"/>
      <w:r w:rsidRPr="007D11A4">
        <w:rPr>
          <w:rFonts w:cs="Arial"/>
          <w:sz w:val="18"/>
          <w:szCs w:val="18"/>
        </w:rPr>
        <w:t>Coper</w:t>
      </w:r>
      <w:proofErr w:type="spellEnd"/>
      <w:r w:rsidRPr="007D11A4">
        <w:rPr>
          <w:rFonts w:cs="Arial"/>
          <w:sz w:val="18"/>
          <w:szCs w:val="18"/>
        </w:rPr>
        <w:t xml:space="preserve">, ‘Interpreting the </w:t>
      </w:r>
      <w:r w:rsidRPr="007D11A4">
        <w:rPr>
          <w:rFonts w:cs="Arial"/>
          <w:i/>
          <w:sz w:val="18"/>
          <w:szCs w:val="18"/>
        </w:rPr>
        <w:t>Constitution</w:t>
      </w:r>
      <w:r w:rsidRPr="007D11A4">
        <w:rPr>
          <w:rFonts w:cs="Arial"/>
          <w:sz w:val="18"/>
          <w:szCs w:val="18"/>
        </w:rPr>
        <w:t xml:space="preserve">: A Handbook for Judges and Commentators’ in A </w:t>
      </w:r>
      <w:proofErr w:type="spellStart"/>
      <w:r w:rsidRPr="007D11A4">
        <w:rPr>
          <w:rFonts w:cs="Arial"/>
          <w:sz w:val="18"/>
          <w:szCs w:val="18"/>
        </w:rPr>
        <w:t>Blackshield</w:t>
      </w:r>
      <w:proofErr w:type="spellEnd"/>
      <w:r w:rsidRPr="007D11A4">
        <w:rPr>
          <w:rFonts w:cs="Arial"/>
          <w:sz w:val="18"/>
          <w:szCs w:val="18"/>
        </w:rPr>
        <w:t xml:space="preserve"> (</w:t>
      </w:r>
      <w:proofErr w:type="spellStart"/>
      <w:proofErr w:type="gramStart"/>
      <w:r w:rsidRPr="007D11A4">
        <w:rPr>
          <w:rFonts w:cs="Arial"/>
          <w:sz w:val="18"/>
          <w:szCs w:val="18"/>
        </w:rPr>
        <w:t>ed</w:t>
      </w:r>
      <w:proofErr w:type="spellEnd"/>
      <w:proofErr w:type="gramEnd"/>
      <w:r w:rsidRPr="007D11A4">
        <w:rPr>
          <w:rFonts w:cs="Arial"/>
          <w:sz w:val="18"/>
          <w:szCs w:val="18"/>
        </w:rPr>
        <w:t xml:space="preserve">), </w:t>
      </w:r>
      <w:r w:rsidRPr="007D11A4">
        <w:rPr>
          <w:rFonts w:cs="Arial"/>
          <w:i/>
          <w:iCs/>
          <w:sz w:val="18"/>
          <w:szCs w:val="18"/>
        </w:rPr>
        <w:t>Legal Changes: Essays in Honour of Julius Stone</w:t>
      </w:r>
      <w:r w:rsidRPr="007D11A4">
        <w:rPr>
          <w:rFonts w:cs="Arial"/>
          <w:sz w:val="18"/>
          <w:szCs w:val="18"/>
        </w:rPr>
        <w:t xml:space="preserve"> (</w:t>
      </w:r>
      <w:proofErr w:type="spellStart"/>
      <w:r w:rsidRPr="007D11A4">
        <w:rPr>
          <w:rFonts w:cs="Arial"/>
          <w:sz w:val="18"/>
          <w:szCs w:val="18"/>
        </w:rPr>
        <w:t>Butterworths</w:t>
      </w:r>
      <w:proofErr w:type="spellEnd"/>
      <w:r w:rsidRPr="007D11A4">
        <w:rPr>
          <w:rFonts w:cs="Arial"/>
          <w:sz w:val="18"/>
          <w:szCs w:val="18"/>
        </w:rPr>
        <w:t>, 1983), 52.</w:t>
      </w:r>
    </w:p>
  </w:endnote>
  <w:endnote w:id="168">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Eastman v The Queen</w:t>
      </w:r>
      <w:r w:rsidRPr="007D11A4">
        <w:rPr>
          <w:rFonts w:cs="Arial"/>
          <w:sz w:val="18"/>
          <w:szCs w:val="18"/>
        </w:rPr>
        <w:t xml:space="preserve"> (2000) 203 CLR 1, [81] (Kirby J).</w:t>
      </w:r>
      <w:proofErr w:type="gramEnd"/>
    </w:p>
  </w:endnote>
  <w:endnote w:id="169">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J Austin, </w:t>
      </w:r>
      <w:r w:rsidRPr="007D11A4">
        <w:rPr>
          <w:rFonts w:cs="Arial"/>
          <w:i/>
          <w:iCs/>
          <w:sz w:val="18"/>
          <w:szCs w:val="18"/>
        </w:rPr>
        <w:t xml:space="preserve">Lectures on Jurisprudence </w:t>
      </w:r>
      <w:proofErr w:type="spellStart"/>
      <w:r w:rsidRPr="007D11A4">
        <w:rPr>
          <w:rFonts w:cs="Arial"/>
          <w:i/>
          <w:iCs/>
          <w:sz w:val="18"/>
          <w:szCs w:val="18"/>
        </w:rPr>
        <w:t>Vol</w:t>
      </w:r>
      <w:proofErr w:type="spellEnd"/>
      <w:r w:rsidRPr="007D11A4">
        <w:rPr>
          <w:rFonts w:cs="Arial"/>
          <w:i/>
          <w:iCs/>
          <w:sz w:val="18"/>
          <w:szCs w:val="18"/>
        </w:rPr>
        <w:t xml:space="preserve"> 2</w:t>
      </w:r>
      <w:r w:rsidR="00665B75">
        <w:rPr>
          <w:rFonts w:cs="Arial"/>
          <w:sz w:val="18"/>
          <w:szCs w:val="18"/>
        </w:rPr>
        <w:t xml:space="preserve">, </w:t>
      </w:r>
      <w:r w:rsidRPr="007D11A4">
        <w:rPr>
          <w:rFonts w:cs="Arial"/>
          <w:sz w:val="18"/>
          <w:szCs w:val="18"/>
        </w:rPr>
        <w:t xml:space="preserve">(John Murray, </w:t>
      </w:r>
      <w:r w:rsidR="00665B75">
        <w:rPr>
          <w:rFonts w:cs="Arial"/>
          <w:sz w:val="18"/>
          <w:szCs w:val="18"/>
        </w:rPr>
        <w:t>4</w:t>
      </w:r>
      <w:r w:rsidR="00665B75" w:rsidRPr="00665B75">
        <w:rPr>
          <w:rFonts w:cs="Arial"/>
          <w:sz w:val="18"/>
          <w:szCs w:val="18"/>
          <w:vertAlign w:val="superscript"/>
        </w:rPr>
        <w:t>th</w:t>
      </w:r>
      <w:r w:rsidR="00665B75">
        <w:rPr>
          <w:rFonts w:cs="Arial"/>
          <w:sz w:val="18"/>
          <w:szCs w:val="18"/>
        </w:rPr>
        <w:t xml:space="preserve"> </w:t>
      </w:r>
      <w:proofErr w:type="spellStart"/>
      <w:r w:rsidR="00665B75">
        <w:rPr>
          <w:rFonts w:cs="Arial"/>
          <w:sz w:val="18"/>
          <w:szCs w:val="18"/>
        </w:rPr>
        <w:t>ed</w:t>
      </w:r>
      <w:proofErr w:type="spellEnd"/>
      <w:r w:rsidR="00665B75">
        <w:rPr>
          <w:rFonts w:cs="Arial"/>
          <w:sz w:val="18"/>
          <w:szCs w:val="18"/>
        </w:rPr>
        <w:t>,</w:t>
      </w:r>
      <w:r w:rsidRPr="007D11A4">
        <w:rPr>
          <w:rFonts w:cs="Arial"/>
          <w:sz w:val="18"/>
          <w:szCs w:val="18"/>
        </w:rPr>
        <w:t xml:space="preserve"> 1879) 1029–30.</w:t>
      </w:r>
    </w:p>
  </w:endnote>
  <w:endnote w:id="170">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Spigelman</w:t>
      </w:r>
      <w:proofErr w:type="spellEnd"/>
      <w:r w:rsidRPr="007D11A4">
        <w:rPr>
          <w:rFonts w:cs="Arial"/>
          <w:sz w:val="18"/>
          <w:szCs w:val="18"/>
        </w:rPr>
        <w:t>, above n 58, 3.</w:t>
      </w:r>
      <w:proofErr w:type="gramEnd"/>
    </w:p>
  </w:endnote>
  <w:endnote w:id="171">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Kenny, above n 136, 55.</w:t>
      </w:r>
      <w:proofErr w:type="gramEnd"/>
    </w:p>
  </w:endnote>
  <w:endnote w:id="172">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Spigelman</w:t>
      </w:r>
      <w:proofErr w:type="spellEnd"/>
      <w:r w:rsidRPr="007D11A4">
        <w:rPr>
          <w:rFonts w:cs="Arial"/>
          <w:sz w:val="18"/>
          <w:szCs w:val="18"/>
        </w:rPr>
        <w:t>, above n 58, 3.</w:t>
      </w:r>
      <w:proofErr w:type="gramEnd"/>
    </w:p>
  </w:endnote>
  <w:endnote w:id="173">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McHugh and Kirby JJ, for instance, adopted diametrically opposite approaches during their co-tenure, with McHugh J taking an </w:t>
      </w:r>
      <w:proofErr w:type="spellStart"/>
      <w:r w:rsidRPr="007D11A4">
        <w:rPr>
          <w:rFonts w:cs="Arial"/>
          <w:sz w:val="18"/>
          <w:szCs w:val="18"/>
        </w:rPr>
        <w:t>originalist</w:t>
      </w:r>
      <w:proofErr w:type="spellEnd"/>
      <w:r w:rsidRPr="007D11A4">
        <w:rPr>
          <w:rFonts w:cs="Arial"/>
          <w:sz w:val="18"/>
          <w:szCs w:val="18"/>
        </w:rPr>
        <w:t xml:space="preserve"> approach, and Kirby J opting for a more progressive approach: see G Hill</w:t>
      </w:r>
      <w:proofErr w:type="gramStart"/>
      <w:r w:rsidRPr="007D11A4">
        <w:rPr>
          <w:rFonts w:cs="Arial"/>
          <w:sz w:val="18"/>
          <w:szCs w:val="18"/>
        </w:rPr>
        <w:t>,  ‘</w:t>
      </w:r>
      <w:proofErr w:type="gramEnd"/>
      <w:r w:rsidRPr="007D11A4">
        <w:rPr>
          <w:rFonts w:cs="Arial"/>
          <w:sz w:val="18"/>
          <w:szCs w:val="18"/>
        </w:rPr>
        <w:t>“</w:t>
      </w:r>
      <w:proofErr w:type="spellStart"/>
      <w:r w:rsidRPr="007D11A4">
        <w:rPr>
          <w:rFonts w:cs="Arial"/>
          <w:sz w:val="18"/>
          <w:szCs w:val="18"/>
        </w:rPr>
        <w:t>Originalist</w:t>
      </w:r>
      <w:proofErr w:type="spellEnd"/>
      <w:r w:rsidRPr="007D11A4">
        <w:rPr>
          <w:rFonts w:cs="Arial"/>
          <w:sz w:val="18"/>
          <w:szCs w:val="18"/>
        </w:rPr>
        <w:t xml:space="preserve">” </w:t>
      </w:r>
      <w:proofErr w:type="spellStart"/>
      <w:r w:rsidRPr="007D11A4">
        <w:rPr>
          <w:rFonts w:cs="Arial"/>
          <w:sz w:val="18"/>
          <w:szCs w:val="18"/>
        </w:rPr>
        <w:t>vs</w:t>
      </w:r>
      <w:proofErr w:type="spellEnd"/>
      <w:r w:rsidRPr="007D11A4">
        <w:rPr>
          <w:rFonts w:cs="Arial"/>
          <w:sz w:val="18"/>
          <w:szCs w:val="18"/>
        </w:rPr>
        <w:t xml:space="preserve"> “Progressive” Interpretations of the Constitution – Does It Matter?’ </w:t>
      </w:r>
      <w:proofErr w:type="gramStart"/>
      <w:r w:rsidRPr="007D11A4">
        <w:rPr>
          <w:rFonts w:cs="Arial"/>
          <w:sz w:val="18"/>
          <w:szCs w:val="18"/>
        </w:rPr>
        <w:t xml:space="preserve">(2000) 11 </w:t>
      </w:r>
      <w:r w:rsidRPr="007D11A4">
        <w:rPr>
          <w:rFonts w:cs="Arial"/>
          <w:i/>
          <w:iCs/>
          <w:sz w:val="18"/>
          <w:szCs w:val="18"/>
        </w:rPr>
        <w:t>Public Law Review</w:t>
      </w:r>
      <w:r w:rsidRPr="007D11A4">
        <w:rPr>
          <w:rFonts w:cs="Arial"/>
          <w:sz w:val="18"/>
          <w:szCs w:val="18"/>
        </w:rPr>
        <w:t xml:space="preserve"> 159, 159.</w:t>
      </w:r>
      <w:proofErr w:type="gramEnd"/>
    </w:p>
  </w:endnote>
  <w:endnote w:id="174">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Blackshield</w:t>
      </w:r>
      <w:proofErr w:type="spellEnd"/>
      <w:r w:rsidRPr="007D11A4">
        <w:rPr>
          <w:rFonts w:cs="Arial"/>
          <w:sz w:val="18"/>
          <w:szCs w:val="18"/>
        </w:rPr>
        <w:t xml:space="preserve"> and Williams, above n 148, 284.</w:t>
      </w:r>
      <w:proofErr w:type="gramEnd"/>
    </w:p>
  </w:endnote>
  <w:endnote w:id="175">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Aronson, above n 88, 22; G Weeks, ‘The Expanding Role of Process in Judicial Review’ (2008) 15 </w:t>
      </w:r>
      <w:r w:rsidRPr="007D11A4">
        <w:rPr>
          <w:rFonts w:cs="Arial"/>
          <w:i/>
          <w:iCs/>
          <w:sz w:val="18"/>
          <w:szCs w:val="18"/>
        </w:rPr>
        <w:t>Australian Journal of Administrative Law</w:t>
      </w:r>
      <w:r w:rsidRPr="007D11A4">
        <w:rPr>
          <w:rFonts w:cs="Arial"/>
          <w:sz w:val="18"/>
          <w:szCs w:val="18"/>
        </w:rPr>
        <w:t xml:space="preserve"> 100.</w:t>
      </w:r>
      <w:proofErr w:type="gramEnd"/>
    </w:p>
  </w:endnote>
  <w:endnote w:id="176">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G </w:t>
      </w:r>
      <w:proofErr w:type="spellStart"/>
      <w:r w:rsidRPr="007D11A4">
        <w:rPr>
          <w:rFonts w:cs="Arial"/>
          <w:sz w:val="18"/>
          <w:szCs w:val="18"/>
        </w:rPr>
        <w:t>Boeddu</w:t>
      </w:r>
      <w:proofErr w:type="spellEnd"/>
      <w:r w:rsidRPr="007D11A4">
        <w:rPr>
          <w:rFonts w:cs="Arial"/>
          <w:sz w:val="18"/>
          <w:szCs w:val="18"/>
        </w:rPr>
        <w:t xml:space="preserve"> and R </w:t>
      </w:r>
      <w:proofErr w:type="spellStart"/>
      <w:r w:rsidRPr="007D11A4">
        <w:rPr>
          <w:rFonts w:cs="Arial"/>
          <w:sz w:val="18"/>
          <w:szCs w:val="18"/>
        </w:rPr>
        <w:t>Haigh</w:t>
      </w:r>
      <w:proofErr w:type="spellEnd"/>
      <w:r w:rsidRPr="007D11A4">
        <w:rPr>
          <w:rFonts w:cs="Arial"/>
          <w:sz w:val="18"/>
          <w:szCs w:val="18"/>
        </w:rPr>
        <w:t xml:space="preserve">, ‘Terms of Convenience: Examining Constitutional </w:t>
      </w:r>
      <w:proofErr w:type="spellStart"/>
      <w:r w:rsidRPr="007D11A4">
        <w:rPr>
          <w:rFonts w:cs="Arial"/>
          <w:sz w:val="18"/>
          <w:szCs w:val="18"/>
        </w:rPr>
        <w:t>Overrulings</w:t>
      </w:r>
      <w:proofErr w:type="spellEnd"/>
      <w:r w:rsidRPr="007D11A4">
        <w:rPr>
          <w:rFonts w:cs="Arial"/>
          <w:sz w:val="18"/>
          <w:szCs w:val="18"/>
        </w:rPr>
        <w:t xml:space="preserve"> by the High Court’ (2003) 31 </w:t>
      </w:r>
      <w:r w:rsidRPr="007D11A4">
        <w:rPr>
          <w:rFonts w:cs="Arial"/>
          <w:i/>
          <w:iCs/>
          <w:sz w:val="18"/>
          <w:szCs w:val="18"/>
        </w:rPr>
        <w:t xml:space="preserve">Federal Law Review </w:t>
      </w:r>
      <w:r w:rsidRPr="007D11A4">
        <w:rPr>
          <w:rFonts w:cs="Arial"/>
          <w:sz w:val="18"/>
          <w:szCs w:val="18"/>
        </w:rPr>
        <w:t>167.</w:t>
      </w:r>
    </w:p>
  </w:endnote>
  <w:endnote w:id="177">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i/>
          <w:iCs/>
          <w:sz w:val="18"/>
          <w:szCs w:val="18"/>
        </w:rPr>
        <w:t>Marbury</w:t>
      </w:r>
      <w:proofErr w:type="spellEnd"/>
      <w:r w:rsidRPr="007D11A4">
        <w:rPr>
          <w:rFonts w:cs="Arial"/>
          <w:i/>
          <w:iCs/>
          <w:sz w:val="18"/>
          <w:szCs w:val="18"/>
        </w:rPr>
        <w:t xml:space="preserve"> v Madison </w:t>
      </w:r>
      <w:r w:rsidRPr="007D11A4">
        <w:rPr>
          <w:rFonts w:cs="Arial"/>
          <w:sz w:val="18"/>
          <w:szCs w:val="18"/>
        </w:rPr>
        <w:t xml:space="preserve">(1803) 1 </w:t>
      </w:r>
      <w:proofErr w:type="spellStart"/>
      <w:r w:rsidRPr="007D11A4">
        <w:rPr>
          <w:rFonts w:cs="Arial"/>
          <w:sz w:val="18"/>
          <w:szCs w:val="18"/>
        </w:rPr>
        <w:t>Cranch</w:t>
      </w:r>
      <w:proofErr w:type="spellEnd"/>
      <w:r w:rsidRPr="007D11A4">
        <w:rPr>
          <w:rFonts w:cs="Arial"/>
          <w:sz w:val="18"/>
          <w:szCs w:val="18"/>
        </w:rPr>
        <w:t xml:space="preserve"> 137, 177.</w:t>
      </w:r>
      <w:proofErr w:type="gramEnd"/>
    </w:p>
  </w:endnote>
  <w:endnote w:id="178">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Taggart, above n 4, 27.</w:t>
      </w:r>
      <w:proofErr w:type="gramEnd"/>
    </w:p>
  </w:endnote>
  <w:endnote w:id="179">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Goldsworthy, above n 98, 106, 128–9.</w:t>
      </w:r>
      <w:proofErr w:type="gramEnd"/>
      <w:r w:rsidRPr="007D11A4">
        <w:rPr>
          <w:rFonts w:cs="Arial"/>
          <w:sz w:val="18"/>
          <w:szCs w:val="18"/>
        </w:rPr>
        <w:t xml:space="preserve"> Hence some describe the state of affairs rather as ‘separate institutions sharing powers’: </w:t>
      </w:r>
      <w:proofErr w:type="spellStart"/>
      <w:r w:rsidRPr="007D11A4">
        <w:rPr>
          <w:rFonts w:cs="Arial"/>
          <w:sz w:val="18"/>
          <w:szCs w:val="18"/>
        </w:rPr>
        <w:t>Spigelman</w:t>
      </w:r>
      <w:proofErr w:type="spellEnd"/>
      <w:r w:rsidRPr="007D11A4">
        <w:rPr>
          <w:rFonts w:cs="Arial"/>
          <w:sz w:val="18"/>
          <w:szCs w:val="18"/>
        </w:rPr>
        <w:t>, above n 58, 4.</w:t>
      </w:r>
    </w:p>
  </w:endnote>
  <w:endnote w:id="180">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Groves, above n 2.</w:t>
      </w:r>
      <w:proofErr w:type="gramEnd"/>
    </w:p>
  </w:endnote>
  <w:endnote w:id="181">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Taggart, above n 4, 4 note 19.</w:t>
      </w:r>
    </w:p>
  </w:endnote>
  <w:endnote w:id="182">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Goldsworthy, above n 98, 128–9.</w:t>
      </w:r>
      <w:proofErr w:type="gramEnd"/>
    </w:p>
  </w:endnote>
  <w:endnote w:id="183">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F Wheeler, ‘Original Intent and the Doctrine of the Separation of Powers in Australia’ (1996) 7 </w:t>
      </w:r>
      <w:r w:rsidRPr="007D11A4">
        <w:rPr>
          <w:rFonts w:cs="Arial"/>
          <w:i/>
          <w:iCs/>
          <w:sz w:val="18"/>
          <w:szCs w:val="18"/>
        </w:rPr>
        <w:t>Public Law Review</w:t>
      </w:r>
      <w:r w:rsidRPr="007D11A4">
        <w:rPr>
          <w:rFonts w:cs="Arial"/>
          <w:sz w:val="18"/>
          <w:szCs w:val="18"/>
        </w:rPr>
        <w:t xml:space="preserve"> 96, 104.</w:t>
      </w:r>
      <w:proofErr w:type="gramEnd"/>
    </w:p>
  </w:endnote>
  <w:endnote w:id="184">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G </w:t>
      </w:r>
      <w:proofErr w:type="spellStart"/>
      <w:r w:rsidRPr="007D11A4">
        <w:rPr>
          <w:rFonts w:cs="Arial"/>
          <w:sz w:val="18"/>
          <w:szCs w:val="18"/>
        </w:rPr>
        <w:t>Sawer</w:t>
      </w:r>
      <w:proofErr w:type="spellEnd"/>
      <w:r w:rsidRPr="007D11A4">
        <w:rPr>
          <w:rFonts w:cs="Arial"/>
          <w:sz w:val="18"/>
          <w:szCs w:val="18"/>
        </w:rPr>
        <w:t xml:space="preserve">, ‘The Separation of Powers in Australian Federalism’ (1961) 35 </w:t>
      </w:r>
      <w:r w:rsidRPr="007D11A4">
        <w:rPr>
          <w:rFonts w:cs="Arial"/>
          <w:i/>
          <w:iCs/>
          <w:sz w:val="18"/>
          <w:szCs w:val="18"/>
        </w:rPr>
        <w:t>Australian Law Journal</w:t>
      </w:r>
      <w:r w:rsidRPr="007D11A4">
        <w:rPr>
          <w:rFonts w:cs="Arial"/>
          <w:sz w:val="18"/>
          <w:szCs w:val="18"/>
        </w:rPr>
        <w:t xml:space="preserve"> 177, 179.</w:t>
      </w:r>
      <w:proofErr w:type="gramEnd"/>
    </w:p>
  </w:endnote>
  <w:endnote w:id="185">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Wheeler, above n 181, 98.</w:t>
      </w:r>
      <w:proofErr w:type="gramEnd"/>
    </w:p>
  </w:endnote>
  <w:endnote w:id="186">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J </w:t>
      </w:r>
      <w:proofErr w:type="spellStart"/>
      <w:r w:rsidRPr="007D11A4">
        <w:rPr>
          <w:rFonts w:cs="Arial"/>
          <w:sz w:val="18"/>
          <w:szCs w:val="18"/>
        </w:rPr>
        <w:t>Finnis</w:t>
      </w:r>
      <w:proofErr w:type="spellEnd"/>
      <w:r w:rsidRPr="007D11A4">
        <w:rPr>
          <w:rFonts w:cs="Arial"/>
          <w:sz w:val="18"/>
          <w:szCs w:val="18"/>
        </w:rPr>
        <w:t xml:space="preserve">, ‘Separation of Powers in the Australian </w:t>
      </w:r>
      <w:r w:rsidRPr="007D11A4">
        <w:rPr>
          <w:rFonts w:cs="Arial"/>
          <w:i/>
          <w:sz w:val="18"/>
          <w:szCs w:val="18"/>
        </w:rPr>
        <w:t>Constitution</w:t>
      </w:r>
      <w:r w:rsidRPr="007D11A4">
        <w:rPr>
          <w:rFonts w:cs="Arial"/>
          <w:sz w:val="18"/>
          <w:szCs w:val="18"/>
        </w:rPr>
        <w:t xml:space="preserve">’ (1967) 3 </w:t>
      </w:r>
      <w:r w:rsidRPr="007D11A4">
        <w:rPr>
          <w:rFonts w:cs="Arial"/>
          <w:i/>
          <w:iCs/>
          <w:sz w:val="18"/>
          <w:szCs w:val="18"/>
        </w:rPr>
        <w:t>Adelaide Law Review</w:t>
      </w:r>
      <w:r w:rsidRPr="007D11A4">
        <w:rPr>
          <w:rFonts w:cs="Arial"/>
          <w:sz w:val="18"/>
          <w:szCs w:val="18"/>
        </w:rPr>
        <w:t xml:space="preserve"> 159, 171–2.</w:t>
      </w:r>
      <w:proofErr w:type="gramEnd"/>
      <w:r w:rsidRPr="007D11A4">
        <w:rPr>
          <w:rFonts w:cs="Arial"/>
          <w:sz w:val="18"/>
          <w:szCs w:val="18"/>
        </w:rPr>
        <w:t xml:space="preserve"> </w:t>
      </w:r>
    </w:p>
  </w:endnote>
  <w:endnote w:id="187">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Cane, above n 14, 114.</w:t>
      </w:r>
      <w:proofErr w:type="gramEnd"/>
    </w:p>
  </w:endnote>
  <w:endnote w:id="188">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Aronson, Dyer and Groves, above n 38, 34.</w:t>
      </w:r>
      <w:proofErr w:type="gramEnd"/>
    </w:p>
  </w:endnote>
  <w:endnote w:id="189">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Ibid, 44.</w:t>
      </w:r>
      <w:proofErr w:type="gramEnd"/>
    </w:p>
  </w:endnote>
  <w:endnote w:id="190">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Jackson, above n 22, 24.</w:t>
      </w:r>
      <w:proofErr w:type="gramEnd"/>
      <w:r w:rsidRPr="007D11A4">
        <w:rPr>
          <w:rFonts w:cs="Arial"/>
          <w:sz w:val="18"/>
          <w:szCs w:val="18"/>
        </w:rPr>
        <w:t xml:space="preserve"> This is now the position in modern Australian law too: </w:t>
      </w:r>
      <w:r w:rsidRPr="007D11A4">
        <w:rPr>
          <w:rFonts w:cs="Arial"/>
          <w:i/>
          <w:iCs/>
          <w:sz w:val="18"/>
          <w:szCs w:val="18"/>
          <w:lang w:val="fr-FR"/>
        </w:rPr>
        <w:t xml:space="preserve">R v </w:t>
      </w:r>
      <w:proofErr w:type="gramStart"/>
      <w:r w:rsidRPr="007D11A4">
        <w:rPr>
          <w:rFonts w:cs="Arial"/>
          <w:i/>
          <w:iCs/>
          <w:sz w:val="18"/>
          <w:szCs w:val="18"/>
          <w:lang w:val="fr-FR"/>
        </w:rPr>
        <w:t>Cook ;</w:t>
      </w:r>
      <w:proofErr w:type="gramEnd"/>
      <w:r w:rsidRPr="007D11A4">
        <w:rPr>
          <w:rFonts w:cs="Arial"/>
          <w:i/>
          <w:iCs/>
          <w:sz w:val="18"/>
          <w:szCs w:val="18"/>
          <w:lang w:val="fr-FR"/>
        </w:rPr>
        <w:t xml:space="preserve"> Ex parte </w:t>
      </w:r>
      <w:proofErr w:type="spellStart"/>
      <w:r w:rsidRPr="007D11A4">
        <w:rPr>
          <w:rFonts w:cs="Arial"/>
          <w:i/>
          <w:iCs/>
          <w:sz w:val="18"/>
          <w:szCs w:val="18"/>
          <w:lang w:val="fr-FR"/>
        </w:rPr>
        <w:t>Twigg</w:t>
      </w:r>
      <w:proofErr w:type="spellEnd"/>
      <w:r w:rsidRPr="007D11A4">
        <w:rPr>
          <w:rFonts w:cs="Arial"/>
          <w:sz w:val="18"/>
          <w:szCs w:val="18"/>
          <w:lang w:val="fr-FR"/>
        </w:rPr>
        <w:t xml:space="preserve"> (1980) 147 CLR 15, 26 (Gibbs J).</w:t>
      </w:r>
    </w:p>
  </w:endnote>
  <w:endnote w:id="191">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Taggart, above n 4, 9.</w:t>
      </w:r>
      <w:proofErr w:type="gramEnd"/>
    </w:p>
  </w:endnote>
  <w:endnote w:id="192">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Ibid.</w:t>
      </w:r>
    </w:p>
  </w:endnote>
  <w:endnote w:id="193">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(1803) 1 </w:t>
      </w:r>
      <w:proofErr w:type="spellStart"/>
      <w:r w:rsidRPr="007D11A4">
        <w:rPr>
          <w:rFonts w:cs="Arial"/>
          <w:sz w:val="18"/>
          <w:szCs w:val="18"/>
        </w:rPr>
        <w:t>Cranch</w:t>
      </w:r>
      <w:proofErr w:type="spellEnd"/>
      <w:r w:rsidRPr="007D11A4">
        <w:rPr>
          <w:rFonts w:cs="Arial"/>
          <w:sz w:val="18"/>
          <w:szCs w:val="18"/>
        </w:rPr>
        <w:t xml:space="preserve"> 137.</w:t>
      </w:r>
      <w:proofErr w:type="gramEnd"/>
    </w:p>
  </w:endnote>
  <w:endnote w:id="194">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 xml:space="preserve">J </w:t>
      </w:r>
      <w:proofErr w:type="spellStart"/>
      <w:r w:rsidRPr="007D11A4">
        <w:rPr>
          <w:rFonts w:cs="Arial"/>
          <w:sz w:val="18"/>
          <w:szCs w:val="18"/>
        </w:rPr>
        <w:t>Stellios</w:t>
      </w:r>
      <w:proofErr w:type="spellEnd"/>
      <w:r w:rsidRPr="007D11A4">
        <w:rPr>
          <w:rFonts w:cs="Arial"/>
          <w:sz w:val="18"/>
          <w:szCs w:val="18"/>
        </w:rPr>
        <w:t xml:space="preserve">, ‘Exploring the Purposes of Section 75(v) of the </w:t>
      </w:r>
      <w:r w:rsidRPr="007D11A4">
        <w:rPr>
          <w:rFonts w:cs="Arial"/>
          <w:i/>
          <w:sz w:val="18"/>
          <w:szCs w:val="18"/>
        </w:rPr>
        <w:t>Constitution</w:t>
      </w:r>
      <w:r w:rsidRPr="007D11A4">
        <w:rPr>
          <w:rFonts w:cs="Arial"/>
          <w:sz w:val="18"/>
          <w:szCs w:val="18"/>
        </w:rPr>
        <w:t xml:space="preserve">’ (2011) 34 </w:t>
      </w:r>
      <w:r w:rsidRPr="007D11A4">
        <w:rPr>
          <w:rFonts w:cs="Arial"/>
          <w:i/>
          <w:iCs/>
          <w:sz w:val="18"/>
          <w:szCs w:val="18"/>
        </w:rPr>
        <w:t xml:space="preserve">University of New South Wales Law Journal </w:t>
      </w:r>
      <w:r w:rsidRPr="007D11A4">
        <w:rPr>
          <w:rFonts w:cs="Arial"/>
          <w:sz w:val="18"/>
          <w:szCs w:val="18"/>
        </w:rPr>
        <w:t>70.</w:t>
      </w:r>
      <w:proofErr w:type="gramEnd"/>
    </w:p>
  </w:endnote>
  <w:endnote w:id="195">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Sackville, above n 47, 131.</w:t>
      </w:r>
      <w:proofErr w:type="gramEnd"/>
    </w:p>
  </w:endnote>
  <w:endnote w:id="196">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Stellios</w:t>
      </w:r>
      <w:proofErr w:type="spellEnd"/>
      <w:r w:rsidRPr="007D11A4">
        <w:rPr>
          <w:rFonts w:cs="Arial"/>
          <w:sz w:val="18"/>
          <w:szCs w:val="18"/>
        </w:rPr>
        <w:t>, above n 192.</w:t>
      </w:r>
      <w:proofErr w:type="gramEnd"/>
    </w:p>
  </w:endnote>
  <w:endnote w:id="197">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Jackson, above n 22, 27.</w:t>
      </w:r>
      <w:proofErr w:type="gramEnd"/>
    </w:p>
  </w:endnote>
  <w:endnote w:id="198">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Ibid, 24. </w:t>
      </w:r>
      <w:bookmarkStart w:id="0" w:name="_GoBack"/>
      <w:bookmarkEnd w:id="0"/>
    </w:p>
  </w:endnote>
  <w:endnote w:id="199">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Spigelman</w:t>
      </w:r>
      <w:proofErr w:type="spellEnd"/>
      <w:r w:rsidRPr="007D11A4">
        <w:rPr>
          <w:rFonts w:cs="Arial"/>
          <w:sz w:val="18"/>
          <w:szCs w:val="18"/>
        </w:rPr>
        <w:t>, above n 58, 4.</w:t>
      </w:r>
      <w:proofErr w:type="gramEnd"/>
    </w:p>
  </w:endnote>
  <w:endnote w:id="200">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i/>
          <w:iCs/>
          <w:sz w:val="18"/>
          <w:szCs w:val="18"/>
        </w:rPr>
        <w:t xml:space="preserve">Federal Commissioner of Taxation v </w:t>
      </w:r>
      <w:proofErr w:type="spellStart"/>
      <w:r w:rsidRPr="007D11A4">
        <w:rPr>
          <w:rFonts w:cs="Arial"/>
          <w:i/>
          <w:iCs/>
          <w:sz w:val="18"/>
          <w:szCs w:val="18"/>
        </w:rPr>
        <w:t>Futuris</w:t>
      </w:r>
      <w:proofErr w:type="spellEnd"/>
      <w:r w:rsidRPr="007D11A4">
        <w:rPr>
          <w:rFonts w:cs="Arial"/>
          <w:i/>
          <w:iCs/>
          <w:sz w:val="18"/>
          <w:szCs w:val="18"/>
        </w:rPr>
        <w:t xml:space="preserve"> Corporation Ltd</w:t>
      </w:r>
      <w:r w:rsidRPr="007D11A4">
        <w:rPr>
          <w:rFonts w:cs="Arial"/>
          <w:sz w:val="18"/>
          <w:szCs w:val="18"/>
        </w:rPr>
        <w:t xml:space="preserve"> (2008) 237 CLR 146, [129] (Kirby J).</w:t>
      </w:r>
      <w:proofErr w:type="gramEnd"/>
    </w:p>
  </w:endnote>
  <w:endnote w:id="201">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W </w:t>
      </w:r>
      <w:proofErr w:type="spellStart"/>
      <w:r w:rsidRPr="007D11A4">
        <w:rPr>
          <w:rFonts w:cs="Arial"/>
          <w:sz w:val="18"/>
          <w:szCs w:val="18"/>
        </w:rPr>
        <w:t>Sofronoff</w:t>
      </w:r>
      <w:proofErr w:type="spellEnd"/>
      <w:proofErr w:type="gramStart"/>
      <w:r w:rsidRPr="007D11A4">
        <w:rPr>
          <w:rFonts w:cs="Arial"/>
          <w:sz w:val="18"/>
          <w:szCs w:val="18"/>
        </w:rPr>
        <w:t>,  ‘Constitutional</w:t>
      </w:r>
      <w:proofErr w:type="gramEnd"/>
      <w:r w:rsidRPr="007D11A4">
        <w:rPr>
          <w:rFonts w:cs="Arial"/>
          <w:sz w:val="18"/>
          <w:szCs w:val="18"/>
        </w:rPr>
        <w:t xml:space="preserve"> Writs’ (2007) 14 </w:t>
      </w:r>
      <w:r w:rsidRPr="007D11A4">
        <w:rPr>
          <w:rFonts w:cs="Arial"/>
          <w:i/>
          <w:iCs/>
          <w:sz w:val="18"/>
          <w:szCs w:val="18"/>
        </w:rPr>
        <w:t xml:space="preserve">Australian Journal of Administrative Law </w:t>
      </w:r>
      <w:r w:rsidRPr="007D11A4">
        <w:rPr>
          <w:rFonts w:cs="Arial"/>
          <w:sz w:val="18"/>
          <w:szCs w:val="18"/>
        </w:rPr>
        <w:t xml:space="preserve"> 145.</w:t>
      </w:r>
    </w:p>
  </w:endnote>
  <w:endnote w:id="202">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L McDonald, ‘The Entrenched Minimum Provision of Judicial Review and the Rule of Law’ (2010) 21 </w:t>
      </w:r>
      <w:r w:rsidRPr="007D11A4">
        <w:rPr>
          <w:rFonts w:cs="Arial"/>
          <w:i/>
          <w:iCs/>
          <w:sz w:val="18"/>
          <w:szCs w:val="18"/>
        </w:rPr>
        <w:t>Public Law Review</w:t>
      </w:r>
      <w:r w:rsidRPr="007D11A4">
        <w:rPr>
          <w:rFonts w:cs="Arial"/>
          <w:sz w:val="18"/>
          <w:szCs w:val="18"/>
        </w:rPr>
        <w:t xml:space="preserve"> 14, 18.</w:t>
      </w:r>
    </w:p>
  </w:endnote>
  <w:endnote w:id="203">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Gageler</w:t>
      </w:r>
      <w:proofErr w:type="spellEnd"/>
      <w:r w:rsidRPr="007D11A4">
        <w:rPr>
          <w:rFonts w:cs="Arial"/>
          <w:sz w:val="18"/>
          <w:szCs w:val="18"/>
        </w:rPr>
        <w:t>, above n 21, 104–5.</w:t>
      </w:r>
      <w:proofErr w:type="gramEnd"/>
    </w:p>
  </w:endnote>
  <w:endnote w:id="204">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i/>
          <w:iCs/>
          <w:sz w:val="18"/>
          <w:szCs w:val="18"/>
        </w:rPr>
        <w:t>Kirk v Industrial Relations Commission (NSW)</w:t>
      </w:r>
      <w:r w:rsidRPr="007D11A4">
        <w:rPr>
          <w:rFonts w:cs="Arial"/>
          <w:sz w:val="18"/>
          <w:szCs w:val="18"/>
        </w:rPr>
        <w:t xml:space="preserve"> (</w:t>
      </w:r>
      <w:r w:rsidRPr="007D11A4">
        <w:rPr>
          <w:rFonts w:cs="Arial"/>
          <w:i/>
          <w:iCs/>
          <w:sz w:val="18"/>
          <w:szCs w:val="18"/>
        </w:rPr>
        <w:t>Kirk</w:t>
      </w:r>
      <w:r w:rsidRPr="007D11A4">
        <w:rPr>
          <w:rFonts w:cs="Arial"/>
          <w:sz w:val="18"/>
          <w:szCs w:val="18"/>
        </w:rPr>
        <w:t>) (2010) 239 CLR 531.</w:t>
      </w:r>
    </w:p>
  </w:endnote>
  <w:endnote w:id="205">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Sackville, above n 47, 132.</w:t>
      </w:r>
      <w:proofErr w:type="gramEnd"/>
    </w:p>
  </w:endnote>
  <w:endnote w:id="206">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Sackville, above n 86, 110.</w:t>
      </w:r>
      <w:proofErr w:type="gramEnd"/>
    </w:p>
  </w:endnote>
  <w:endnote w:id="207">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Basten</w:t>
      </w:r>
      <w:proofErr w:type="spellEnd"/>
      <w:r w:rsidRPr="007D11A4">
        <w:rPr>
          <w:rFonts w:cs="Arial"/>
          <w:sz w:val="18"/>
          <w:szCs w:val="18"/>
        </w:rPr>
        <w:t>, above n 55, 294.</w:t>
      </w:r>
      <w:proofErr w:type="gramEnd"/>
    </w:p>
  </w:endnote>
  <w:endnote w:id="208">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Aronson, above n 88, 32.</w:t>
      </w:r>
      <w:proofErr w:type="gramEnd"/>
    </w:p>
  </w:endnote>
  <w:endnote w:id="209">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Basten</w:t>
      </w:r>
      <w:proofErr w:type="spellEnd"/>
      <w:r w:rsidRPr="007D11A4">
        <w:rPr>
          <w:rFonts w:cs="Arial"/>
          <w:sz w:val="18"/>
          <w:szCs w:val="18"/>
        </w:rPr>
        <w:t>, above n 55, 299.</w:t>
      </w:r>
      <w:proofErr w:type="gramEnd"/>
    </w:p>
  </w:endnote>
  <w:endnote w:id="210">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spellStart"/>
      <w:proofErr w:type="gramStart"/>
      <w:r w:rsidRPr="007D11A4">
        <w:rPr>
          <w:rFonts w:cs="Arial"/>
          <w:sz w:val="18"/>
          <w:szCs w:val="18"/>
        </w:rPr>
        <w:t>Dyzenhaus</w:t>
      </w:r>
      <w:proofErr w:type="spellEnd"/>
      <w:r w:rsidRPr="007D11A4">
        <w:rPr>
          <w:rFonts w:cs="Arial"/>
          <w:sz w:val="18"/>
          <w:szCs w:val="18"/>
        </w:rPr>
        <w:t>, Hunt and Taggart, above n 115, 6.</w:t>
      </w:r>
      <w:proofErr w:type="gramEnd"/>
    </w:p>
  </w:endnote>
  <w:endnote w:id="211">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proofErr w:type="gramStart"/>
      <w:r w:rsidRPr="007D11A4">
        <w:rPr>
          <w:rFonts w:cs="Arial"/>
          <w:sz w:val="18"/>
          <w:szCs w:val="18"/>
        </w:rPr>
        <w:t>Ibid, 29.</w:t>
      </w:r>
      <w:proofErr w:type="gramEnd"/>
    </w:p>
  </w:endnote>
  <w:endnote w:id="212">
    <w:p w:rsidR="007D11A4" w:rsidRPr="007D11A4" w:rsidRDefault="007D11A4" w:rsidP="007D11A4">
      <w:pPr>
        <w:pStyle w:val="EndnoteText"/>
        <w:tabs>
          <w:tab w:val="left" w:pos="426"/>
        </w:tabs>
        <w:ind w:left="426" w:hanging="426"/>
        <w:rPr>
          <w:rFonts w:cs="Arial"/>
          <w:sz w:val="18"/>
          <w:szCs w:val="18"/>
        </w:rPr>
      </w:pPr>
      <w:r w:rsidRPr="007D11A4">
        <w:rPr>
          <w:rStyle w:val="EndnoteReference"/>
          <w:rFonts w:cs="Arial"/>
          <w:sz w:val="18"/>
          <w:szCs w:val="18"/>
          <w:vertAlign w:val="baseline"/>
        </w:rPr>
        <w:endnoteRef/>
      </w:r>
      <w:r w:rsidRPr="007D11A4">
        <w:rPr>
          <w:rFonts w:cs="Arial"/>
          <w:sz w:val="18"/>
          <w:szCs w:val="18"/>
        </w:rPr>
        <w:t xml:space="preserve"> </w:t>
      </w:r>
      <w:r>
        <w:rPr>
          <w:rFonts w:cs="Arial"/>
          <w:sz w:val="18"/>
          <w:szCs w:val="18"/>
        </w:rPr>
        <w:tab/>
      </w:r>
      <w:r w:rsidRPr="007D11A4">
        <w:rPr>
          <w:rFonts w:cs="Arial"/>
          <w:sz w:val="18"/>
          <w:szCs w:val="18"/>
        </w:rPr>
        <w:t xml:space="preserve">Hill and Stone even moot the idea of constitutionalising the rule of law itself. </w:t>
      </w:r>
      <w:proofErr w:type="gramStart"/>
      <w:r w:rsidRPr="007D11A4">
        <w:rPr>
          <w:rFonts w:cs="Arial"/>
          <w:sz w:val="18"/>
          <w:szCs w:val="18"/>
        </w:rPr>
        <w:t>See Hill and Stone, above n 9.</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mbo Std">
    <w:altName w:val="Bembo Std"/>
    <w:charset w:val="00"/>
    <w:family w:val="roman"/>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30" w:rsidRDefault="00EF2730">
    <w:pPr>
      <w:pStyle w:val="Footer"/>
      <w:pBdr>
        <w:top w:val="single" w:sz="18" w:space="1" w:color="auto"/>
      </w:pBdr>
      <w:jc w:val="center"/>
      <w:rPr>
        <w:b/>
      </w:rPr>
    </w:pPr>
    <w:r>
      <w:rPr>
        <w:rStyle w:val="PageNumber"/>
        <w:b/>
      </w:rPr>
      <w:fldChar w:fldCharType="begin"/>
    </w:r>
    <w:r>
      <w:rPr>
        <w:rStyle w:val="PageNumber"/>
        <w:b/>
      </w:rPr>
      <w:instrText xml:space="preserve"> PAGE </w:instrText>
    </w:r>
    <w:r>
      <w:rPr>
        <w:rStyle w:val="PageNumber"/>
        <w:b/>
      </w:rPr>
      <w:fldChar w:fldCharType="separate"/>
    </w:r>
    <w:r w:rsidR="00DC2680">
      <w:rPr>
        <w:rStyle w:val="PageNumber"/>
        <w:b/>
        <w:noProof/>
      </w:rPr>
      <w:t>90</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05" w:rsidRDefault="00382805">
      <w:r>
        <w:separator/>
      </w:r>
    </w:p>
  </w:footnote>
  <w:footnote w:type="continuationSeparator" w:id="0">
    <w:p w:rsidR="00382805" w:rsidRDefault="00382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30" w:rsidRDefault="00EF2730">
    <w:pPr>
      <w:pStyle w:val="Header"/>
      <w:rPr>
        <w:lang w:val="en-US"/>
      </w:rPr>
    </w:pPr>
  </w:p>
  <w:p w:rsidR="00EF2730" w:rsidRDefault="00937C4B">
    <w:pPr>
      <w:pStyle w:val="Header"/>
      <w:pBdr>
        <w:bottom w:val="single" w:sz="18" w:space="1" w:color="auto"/>
      </w:pBdr>
      <w:jc w:val="center"/>
      <w:rPr>
        <w:b/>
        <w:lang w:val="en-US"/>
      </w:rPr>
    </w:pPr>
    <w:r>
      <w:rPr>
        <w:b/>
        <w:lang w:val="en-US"/>
      </w:rPr>
      <w:t>AIAL FORUM No. 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94D6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pStyle w:val="TOC6"/>
      <w:lvlText w:val="%1"/>
      <w:lvlJc w:val="left"/>
    </w:lvl>
    <w:lvl w:ilvl="1">
      <w:start w:val="1"/>
      <w:numFmt w:val="decimal"/>
      <w:lvlText w:val="%1.%2"/>
      <w:lvlJc w:val="left"/>
      <w:pPr>
        <w:tabs>
          <w:tab w:val="num" w:pos="1814"/>
        </w:tabs>
        <w:ind w:left="1814" w:hanging="907"/>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9C9CB6E6"/>
    <w:lvl w:ilvl="0">
      <w:start w:val="1"/>
      <w:numFmt w:val="decimal"/>
      <w:pStyle w:val="Number1"/>
      <w:lvlText w:val="%1."/>
      <w:lvlJc w:val="left"/>
      <w:pPr>
        <w:tabs>
          <w:tab w:val="num" w:pos="567"/>
        </w:tabs>
        <w:ind w:left="0" w:firstLine="0"/>
      </w:pPr>
      <w:rPr>
        <w:rFonts w:hint="default"/>
      </w:rPr>
    </w:lvl>
    <w:lvl w:ilvl="1">
      <w:start w:val="1"/>
      <w:numFmt w:val="lowerLetter"/>
      <w:pStyle w:val="Numbera"/>
      <w:lvlText w:val="(%2)"/>
      <w:lvlJc w:val="left"/>
      <w:pPr>
        <w:tabs>
          <w:tab w:val="num" w:pos="1134"/>
        </w:tabs>
        <w:ind w:left="1134" w:hanging="567"/>
      </w:pPr>
      <w:rPr>
        <w:rFonts w:hint="default"/>
      </w:rPr>
    </w:lvl>
    <w:lvl w:ilvl="2">
      <w:start w:val="1"/>
      <w:numFmt w:val="lowerRoman"/>
      <w:pStyle w:val="Number1"/>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AA6993"/>
    <w:multiLevelType w:val="hybridMultilevel"/>
    <w:tmpl w:val="D60AE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4E61196"/>
    <w:multiLevelType w:val="multilevel"/>
    <w:tmpl w:val="D4BC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9829D3"/>
    <w:multiLevelType w:val="hybridMultilevel"/>
    <w:tmpl w:val="83B88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A81283"/>
    <w:multiLevelType w:val="hybridMultilevel"/>
    <w:tmpl w:val="211CB06E"/>
    <w:lvl w:ilvl="0" w:tplc="B044916A">
      <w:start w:val="1"/>
      <w:numFmt w:val="decimal"/>
      <w:pStyle w:val="Para1"/>
      <w:lvlText w:val="%1"/>
      <w:lvlJc w:val="left"/>
      <w:pPr>
        <w:tabs>
          <w:tab w:val="num" w:pos="567"/>
        </w:tabs>
        <w:ind w:left="567" w:hanging="567"/>
      </w:pPr>
      <w:rPr>
        <w:rFonts w:cs="Times New Roman" w:hint="default"/>
        <w:i w:val="0"/>
      </w:rPr>
    </w:lvl>
    <w:lvl w:ilvl="1" w:tplc="17404CB2">
      <w:start w:val="1"/>
      <w:numFmt w:val="lowerLetter"/>
      <w:lvlText w:val="(%2)"/>
      <w:lvlJc w:val="left"/>
      <w:pPr>
        <w:tabs>
          <w:tab w:val="num" w:pos="1106"/>
        </w:tabs>
        <w:ind w:left="1106" w:hanging="539"/>
      </w:pPr>
      <w:rPr>
        <w:rFonts w:cs="Times New Roman" w:hint="default"/>
      </w:rPr>
    </w:lvl>
    <w:lvl w:ilvl="2" w:tplc="655030FE">
      <w:start w:val="1"/>
      <w:numFmt w:val="lowerRoman"/>
      <w:lvlText w:val="(%3)"/>
      <w:lvlJc w:val="right"/>
      <w:pPr>
        <w:tabs>
          <w:tab w:val="num" w:pos="2160"/>
        </w:tabs>
        <w:ind w:left="2160" w:hanging="180"/>
      </w:pPr>
      <w:rPr>
        <w:rFonts w:ascii="Times New Roman" w:eastAsia="Times New Roman" w:hAnsi="Times New Roman" w:cs="Times New Roman"/>
      </w:rPr>
    </w:lvl>
    <w:lvl w:ilvl="3" w:tplc="070468B0">
      <w:start w:val="2"/>
      <w:numFmt w:val="low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D7E39FC"/>
    <w:multiLevelType w:val="singleLevel"/>
    <w:tmpl w:val="04090001"/>
    <w:lvl w:ilvl="0">
      <w:start w:val="1"/>
      <w:numFmt w:val="bullet"/>
      <w:pStyle w:val="Bullet"/>
      <w:lvlText w:val=""/>
      <w:lvlJc w:val="left"/>
      <w:pPr>
        <w:tabs>
          <w:tab w:val="num" w:pos="360"/>
        </w:tabs>
        <w:ind w:left="360" w:hanging="360"/>
      </w:pPr>
      <w:rPr>
        <w:rFonts w:ascii="Symbol" w:hAnsi="Symbol" w:hint="default"/>
      </w:rPr>
    </w:lvl>
  </w:abstractNum>
  <w:abstractNum w:abstractNumId="8">
    <w:nsid w:val="0E1D23E1"/>
    <w:multiLevelType w:val="hybridMultilevel"/>
    <w:tmpl w:val="57E6A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8B037D"/>
    <w:multiLevelType w:val="hybridMultilevel"/>
    <w:tmpl w:val="0B169588"/>
    <w:lvl w:ilvl="0" w:tplc="85DE2C9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1C192CB3"/>
    <w:multiLevelType w:val="hybridMultilevel"/>
    <w:tmpl w:val="082CE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C7D21E6"/>
    <w:multiLevelType w:val="hybridMultilevel"/>
    <w:tmpl w:val="48EE5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32C1773"/>
    <w:multiLevelType w:val="hybridMultilevel"/>
    <w:tmpl w:val="A32E9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50160F1"/>
    <w:multiLevelType w:val="hybridMultilevel"/>
    <w:tmpl w:val="2236DE9E"/>
    <w:lvl w:ilvl="0" w:tplc="9E7C8A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9636D6E"/>
    <w:multiLevelType w:val="hybridMultilevel"/>
    <w:tmpl w:val="ADECC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9AE3DD1"/>
    <w:multiLevelType w:val="singleLevel"/>
    <w:tmpl w:val="5C92B9B0"/>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6">
    <w:nsid w:val="2AB8158D"/>
    <w:multiLevelType w:val="hybridMultilevel"/>
    <w:tmpl w:val="FC62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1C1180"/>
    <w:multiLevelType w:val="hybridMultilevel"/>
    <w:tmpl w:val="225EF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0863D00"/>
    <w:multiLevelType w:val="hybridMultilevel"/>
    <w:tmpl w:val="FF760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9425688"/>
    <w:multiLevelType w:val="hybridMultilevel"/>
    <w:tmpl w:val="DDB4F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ABE4850"/>
    <w:multiLevelType w:val="hybridMultilevel"/>
    <w:tmpl w:val="BC14E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C6A014B"/>
    <w:multiLevelType w:val="hybridMultilevel"/>
    <w:tmpl w:val="8D08F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C8C12C1"/>
    <w:multiLevelType w:val="hybridMultilevel"/>
    <w:tmpl w:val="54A0E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D6F092B"/>
    <w:multiLevelType w:val="singleLevel"/>
    <w:tmpl w:val="AFC4A24E"/>
    <w:lvl w:ilvl="0">
      <w:start w:val="1"/>
      <w:numFmt w:val="upperLetter"/>
      <w:pStyle w:val="Recitals"/>
      <w:lvlText w:val="%1."/>
      <w:lvlJc w:val="left"/>
      <w:pPr>
        <w:tabs>
          <w:tab w:val="num" w:pos="720"/>
        </w:tabs>
        <w:ind w:left="720" w:hanging="720"/>
      </w:pPr>
    </w:lvl>
  </w:abstractNum>
  <w:abstractNum w:abstractNumId="24">
    <w:nsid w:val="46376B53"/>
    <w:multiLevelType w:val="hybridMultilevel"/>
    <w:tmpl w:val="23606BE0"/>
    <w:lvl w:ilvl="0" w:tplc="E3C6DBA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46F905AE"/>
    <w:multiLevelType w:val="multilevel"/>
    <w:tmpl w:val="AC7C9894"/>
    <w:lvl w:ilvl="0">
      <w:start w:val="1"/>
      <w:numFmt w:val="decimal"/>
      <w:pStyle w:val="Number"/>
      <w:lvlText w:val="[%1]"/>
      <w:lvlJc w:val="left"/>
      <w:pPr>
        <w:tabs>
          <w:tab w:val="num" w:pos="1080"/>
        </w:tabs>
        <w:ind w:left="1080" w:hanging="360"/>
      </w:pPr>
      <w:rPr>
        <w:b w:val="0"/>
      </w:rPr>
    </w:lvl>
    <w:lvl w:ilvl="1">
      <w:start w:val="1"/>
      <w:numFmt w:val="lowerLetter"/>
      <w:lvlText w:val="%2)"/>
      <w:lvlJc w:val="left"/>
      <w:pPr>
        <w:tabs>
          <w:tab w:val="num" w:pos="1571"/>
        </w:tabs>
        <w:ind w:left="1571" w:hanging="360"/>
      </w:pPr>
    </w:lvl>
    <w:lvl w:ilvl="2">
      <w:start w:val="1"/>
      <w:numFmt w:val="lowerRoman"/>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lowerLetter"/>
      <w:lvlText w:val="(%5)"/>
      <w:lvlJc w:val="left"/>
      <w:pPr>
        <w:tabs>
          <w:tab w:val="num" w:pos="2651"/>
        </w:tabs>
        <w:ind w:left="2651" w:hanging="360"/>
      </w:pPr>
    </w:lvl>
    <w:lvl w:ilvl="5">
      <w:start w:val="1"/>
      <w:numFmt w:val="lowerRoman"/>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lowerLetter"/>
      <w:lvlText w:val="%8."/>
      <w:lvlJc w:val="left"/>
      <w:pPr>
        <w:tabs>
          <w:tab w:val="num" w:pos="3731"/>
        </w:tabs>
        <w:ind w:left="3731" w:hanging="360"/>
      </w:pPr>
    </w:lvl>
    <w:lvl w:ilvl="8">
      <w:start w:val="1"/>
      <w:numFmt w:val="lowerRoman"/>
      <w:lvlText w:val="%9."/>
      <w:lvlJc w:val="left"/>
      <w:pPr>
        <w:tabs>
          <w:tab w:val="num" w:pos="4091"/>
        </w:tabs>
        <w:ind w:left="4091" w:hanging="360"/>
      </w:pPr>
    </w:lvl>
  </w:abstractNum>
  <w:abstractNum w:abstractNumId="26">
    <w:nsid w:val="478D3FE9"/>
    <w:multiLevelType w:val="hybridMultilevel"/>
    <w:tmpl w:val="FF82E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8202FF9"/>
    <w:multiLevelType w:val="hybridMultilevel"/>
    <w:tmpl w:val="EFAC1C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96F7788"/>
    <w:multiLevelType w:val="hybridMultilevel"/>
    <w:tmpl w:val="2E143EEE"/>
    <w:lvl w:ilvl="0" w:tplc="7F5C715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4A9B4EA9"/>
    <w:multiLevelType w:val="hybridMultilevel"/>
    <w:tmpl w:val="F96C6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DA27CD6"/>
    <w:multiLevelType w:val="hybridMultilevel"/>
    <w:tmpl w:val="01627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23F057A"/>
    <w:multiLevelType w:val="multilevel"/>
    <w:tmpl w:val="0340F4BA"/>
    <w:lvl w:ilvl="0">
      <w:start w:val="1"/>
      <w:numFmt w:val="decimal"/>
      <w:pStyle w:val="NumbParas"/>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088"/>
        </w:tabs>
        <w:ind w:left="2016"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6BB1CEB"/>
    <w:multiLevelType w:val="hybridMultilevel"/>
    <w:tmpl w:val="330EF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7117272"/>
    <w:multiLevelType w:val="hybridMultilevel"/>
    <w:tmpl w:val="B86ED45A"/>
    <w:lvl w:ilvl="0" w:tplc="10090001">
      <w:start w:val="1"/>
      <w:numFmt w:val="bullet"/>
      <w:pStyle w:val="ListNumber"/>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9321412"/>
    <w:multiLevelType w:val="hybridMultilevel"/>
    <w:tmpl w:val="A4EC83B6"/>
    <w:lvl w:ilvl="0" w:tplc="4606C4F8">
      <w:start w:val="79"/>
      <w:numFmt w:val="decimal"/>
      <w:lvlText w:val="%1."/>
      <w:lvlJc w:val="left"/>
      <w:pPr>
        <w:ind w:left="720" w:hanging="36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EA36227"/>
    <w:multiLevelType w:val="hybridMultilevel"/>
    <w:tmpl w:val="657CDE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nsid w:val="607E0BF4"/>
    <w:multiLevelType w:val="hybridMultilevel"/>
    <w:tmpl w:val="65F0090A"/>
    <w:lvl w:ilvl="0" w:tplc="947CBB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63DB0622"/>
    <w:multiLevelType w:val="hybridMultilevel"/>
    <w:tmpl w:val="5F0494E0"/>
    <w:lvl w:ilvl="0" w:tplc="DD5A783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59E30E8"/>
    <w:multiLevelType w:val="hybridMultilevel"/>
    <w:tmpl w:val="3E9C6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6477B9B"/>
    <w:multiLevelType w:val="hybridMultilevel"/>
    <w:tmpl w:val="78BAE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27B210D"/>
    <w:multiLevelType w:val="hybridMultilevel"/>
    <w:tmpl w:val="2BE077EC"/>
    <w:lvl w:ilvl="0" w:tplc="8A08DD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nsid w:val="73ED27A6"/>
    <w:multiLevelType w:val="multilevel"/>
    <w:tmpl w:val="7E82A4D6"/>
    <w:lvl w:ilvl="0">
      <w:start w:val="1"/>
      <w:numFmt w:val="decimal"/>
      <w:lvlText w:val="%1."/>
      <w:lvlJc w:val="left"/>
      <w:pPr>
        <w:ind w:left="720" w:hanging="360"/>
      </w:pPr>
      <w:rPr>
        <w:rFonts w:hint="default"/>
      </w:rPr>
    </w:lvl>
    <w:lvl w:ilvl="1">
      <w:start w:val="3"/>
      <w:numFmt w:val="decimal"/>
      <w:isLgl/>
      <w:lvlText w:val="%1.%2"/>
      <w:lvlJc w:val="left"/>
      <w:pPr>
        <w:ind w:left="1800" w:hanging="1440"/>
      </w:pPr>
      <w:rPr>
        <w:rFonts w:hint="default"/>
        <w:b/>
        <w:u w:val="single"/>
      </w:rPr>
    </w:lvl>
    <w:lvl w:ilvl="2">
      <w:start w:val="1"/>
      <w:numFmt w:val="decimal"/>
      <w:isLgl/>
      <w:lvlText w:val="%1.%2.%3"/>
      <w:lvlJc w:val="left"/>
      <w:pPr>
        <w:ind w:left="1800" w:hanging="1440"/>
      </w:pPr>
      <w:rPr>
        <w:rFonts w:hint="default"/>
        <w:b/>
        <w:u w:val="single"/>
      </w:rPr>
    </w:lvl>
    <w:lvl w:ilvl="3">
      <w:start w:val="1"/>
      <w:numFmt w:val="decimal"/>
      <w:isLgl/>
      <w:lvlText w:val="%1.%2.%3.%4"/>
      <w:lvlJc w:val="left"/>
      <w:pPr>
        <w:ind w:left="1800" w:hanging="1440"/>
      </w:pPr>
      <w:rPr>
        <w:rFonts w:hint="default"/>
        <w:b/>
        <w:u w:val="single"/>
      </w:rPr>
    </w:lvl>
    <w:lvl w:ilvl="4">
      <w:start w:val="1"/>
      <w:numFmt w:val="decimal"/>
      <w:isLgl/>
      <w:lvlText w:val="%1.%2.%3.%4.%5"/>
      <w:lvlJc w:val="left"/>
      <w:pPr>
        <w:ind w:left="1800" w:hanging="144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42">
    <w:nsid w:val="75CB46A6"/>
    <w:multiLevelType w:val="hybridMultilevel"/>
    <w:tmpl w:val="37620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
  </w:num>
  <w:num w:numId="4">
    <w:abstractNumId w:val="1"/>
  </w:num>
  <w:num w:numId="5">
    <w:abstractNumId w:val="23"/>
  </w:num>
  <w:num w:numId="6">
    <w:abstractNumId w:val="7"/>
  </w:num>
  <w:num w:numId="7">
    <w:abstractNumId w:val="6"/>
  </w:num>
  <w:num w:numId="8">
    <w:abstractNumId w:val="8"/>
  </w:num>
  <w:num w:numId="9">
    <w:abstractNumId w:val="25"/>
  </w:num>
  <w:num w:numId="10">
    <w:abstractNumId w:val="37"/>
  </w:num>
  <w:num w:numId="11">
    <w:abstractNumId w:val="34"/>
  </w:num>
  <w:num w:numId="12">
    <w:abstractNumId w:val="13"/>
  </w:num>
  <w:num w:numId="13">
    <w:abstractNumId w:val="27"/>
  </w:num>
  <w:num w:numId="14">
    <w:abstractNumId w:val="41"/>
  </w:num>
  <w:num w:numId="15">
    <w:abstractNumId w:val="38"/>
  </w:num>
  <w:num w:numId="16">
    <w:abstractNumId w:val="26"/>
  </w:num>
  <w:num w:numId="17">
    <w:abstractNumId w:val="10"/>
  </w:num>
  <w:num w:numId="18">
    <w:abstractNumId w:val="42"/>
  </w:num>
  <w:num w:numId="19">
    <w:abstractNumId w:val="18"/>
  </w:num>
  <w:num w:numId="20">
    <w:abstractNumId w:val="30"/>
  </w:num>
  <w:num w:numId="21">
    <w:abstractNumId w:val="20"/>
  </w:num>
  <w:num w:numId="22">
    <w:abstractNumId w:val="29"/>
  </w:num>
  <w:num w:numId="23">
    <w:abstractNumId w:val="33"/>
  </w:num>
  <w:num w:numId="24">
    <w:abstractNumId w:val="19"/>
  </w:num>
  <w:num w:numId="25">
    <w:abstractNumId w:val="3"/>
  </w:num>
  <w:num w:numId="26">
    <w:abstractNumId w:val="40"/>
  </w:num>
  <w:num w:numId="27">
    <w:abstractNumId w:val="16"/>
  </w:num>
  <w:num w:numId="28">
    <w:abstractNumId w:val="17"/>
  </w:num>
  <w:num w:numId="29">
    <w:abstractNumId w:val="14"/>
  </w:num>
  <w:num w:numId="30">
    <w:abstractNumId w:val="21"/>
  </w:num>
  <w:num w:numId="31">
    <w:abstractNumId w:val="5"/>
  </w:num>
  <w:num w:numId="32">
    <w:abstractNumId w:val="32"/>
  </w:num>
  <w:num w:numId="33">
    <w:abstractNumId w:val="11"/>
  </w:num>
  <w:num w:numId="34">
    <w:abstractNumId w:val="22"/>
  </w:num>
  <w:num w:numId="35">
    <w:abstractNumId w:val="39"/>
  </w:num>
  <w:num w:numId="36">
    <w:abstractNumId w:val="12"/>
  </w:num>
  <w:num w:numId="37">
    <w:abstractNumId w:val="15"/>
  </w:num>
  <w:num w:numId="38">
    <w:abstractNumId w:val="36"/>
  </w:num>
  <w:num w:numId="39">
    <w:abstractNumId w:val="24"/>
  </w:num>
  <w:num w:numId="40">
    <w:abstractNumId w:val="9"/>
  </w:num>
  <w:num w:numId="41">
    <w:abstractNumId w:val="28"/>
  </w:num>
  <w:num w:numId="42">
    <w:abstractNumId w:val="4"/>
  </w:num>
  <w:num w:numId="43">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A7"/>
    <w:rsid w:val="0005380D"/>
    <w:rsid w:val="000B3B99"/>
    <w:rsid w:val="000F71E2"/>
    <w:rsid w:val="00107BFE"/>
    <w:rsid w:val="001325E5"/>
    <w:rsid w:val="001643A3"/>
    <w:rsid w:val="00166DB6"/>
    <w:rsid w:val="002C05AC"/>
    <w:rsid w:val="003168E2"/>
    <w:rsid w:val="00320A1E"/>
    <w:rsid w:val="00345FF2"/>
    <w:rsid w:val="0037646A"/>
    <w:rsid w:val="00382805"/>
    <w:rsid w:val="00474BD2"/>
    <w:rsid w:val="00480953"/>
    <w:rsid w:val="004B64D7"/>
    <w:rsid w:val="004C58C4"/>
    <w:rsid w:val="00502E8C"/>
    <w:rsid w:val="00507A93"/>
    <w:rsid w:val="005168EE"/>
    <w:rsid w:val="00534987"/>
    <w:rsid w:val="005554AB"/>
    <w:rsid w:val="00576B26"/>
    <w:rsid w:val="005A65F4"/>
    <w:rsid w:val="005B2AD4"/>
    <w:rsid w:val="005C2BA7"/>
    <w:rsid w:val="005E166A"/>
    <w:rsid w:val="00605B86"/>
    <w:rsid w:val="00665B75"/>
    <w:rsid w:val="00676420"/>
    <w:rsid w:val="006D7AC4"/>
    <w:rsid w:val="00721213"/>
    <w:rsid w:val="00730E42"/>
    <w:rsid w:val="007755B8"/>
    <w:rsid w:val="0079759D"/>
    <w:rsid w:val="007D11A4"/>
    <w:rsid w:val="00871A79"/>
    <w:rsid w:val="008C5D1B"/>
    <w:rsid w:val="00936447"/>
    <w:rsid w:val="00937C4B"/>
    <w:rsid w:val="00973257"/>
    <w:rsid w:val="00993A14"/>
    <w:rsid w:val="009E5223"/>
    <w:rsid w:val="009F528F"/>
    <w:rsid w:val="00A36030"/>
    <w:rsid w:val="00A85566"/>
    <w:rsid w:val="00AE4606"/>
    <w:rsid w:val="00B60EE5"/>
    <w:rsid w:val="00B66053"/>
    <w:rsid w:val="00B7592D"/>
    <w:rsid w:val="00B81DAA"/>
    <w:rsid w:val="00BE5D0A"/>
    <w:rsid w:val="00C05413"/>
    <w:rsid w:val="00C427EA"/>
    <w:rsid w:val="00C73A71"/>
    <w:rsid w:val="00C80036"/>
    <w:rsid w:val="00D216F2"/>
    <w:rsid w:val="00D26DF0"/>
    <w:rsid w:val="00D40225"/>
    <w:rsid w:val="00D90909"/>
    <w:rsid w:val="00DC2680"/>
    <w:rsid w:val="00DE6B96"/>
    <w:rsid w:val="00DF39F6"/>
    <w:rsid w:val="00E33FF3"/>
    <w:rsid w:val="00E425A9"/>
    <w:rsid w:val="00EF2730"/>
    <w:rsid w:val="00EF7570"/>
    <w:rsid w:val="00F35C84"/>
    <w:rsid w:val="00FA0CC6"/>
    <w:rsid w:val="00FB22D4"/>
    <w:rsid w:val="00FC33C7"/>
    <w:rsid w:val="00FF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uiPriority="9" w:qFormat="1"/>
    <w:lsdException w:name="heading 3" w:qFormat="1"/>
    <w:lsdException w:name="heading 6" w:uiPriority="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endnote text" w:uiPriority="99"/>
    <w:lsdException w:name="List Number" w:uiPriority="99"/>
    <w:lsdException w:name="Strong" w:qFormat="1"/>
    <w:lsdException w:name="Emphasis" w:uiPriority="20" w:qFormat="1"/>
    <w:lsdException w:name="HTML Preformatted"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sdException w:name="Book Title" w:uiPriority="33" w:qFormat="1"/>
  </w:latentStyles>
  <w:style w:type="paragraph" w:default="1" w:styleId="Normal">
    <w:name w:val="Normal"/>
    <w:qFormat/>
    <w:rsid w:val="001643A3"/>
    <w:rPr>
      <w:rFonts w:ascii="Arial" w:hAnsi="Arial"/>
      <w:sz w:val="22"/>
      <w:lang w:val="en-AU" w:eastAsia="en-AU"/>
    </w:rPr>
  </w:style>
  <w:style w:type="paragraph" w:styleId="Heading1">
    <w:name w:val="heading 1"/>
    <w:aliases w:val="Main Heading"/>
    <w:basedOn w:val="Normal"/>
    <w:next w:val="Normal"/>
    <w:qFormat/>
    <w:rsid w:val="001643A3"/>
    <w:pPr>
      <w:keepNext/>
      <w:jc w:val="both"/>
      <w:outlineLvl w:val="0"/>
    </w:pPr>
    <w:rPr>
      <w:b/>
      <w:snapToGrid w:val="0"/>
      <w:lang w:val="en-US" w:eastAsia="en-US"/>
    </w:rPr>
  </w:style>
  <w:style w:type="paragraph" w:styleId="Heading2">
    <w:name w:val="heading 2"/>
    <w:aliases w:val="Sub-heading"/>
    <w:basedOn w:val="Normal"/>
    <w:next w:val="Normal"/>
    <w:link w:val="Heading2Char"/>
    <w:autoRedefine/>
    <w:uiPriority w:val="9"/>
    <w:qFormat/>
    <w:rsid w:val="001643A3"/>
    <w:pPr>
      <w:keepNext/>
      <w:jc w:val="both"/>
      <w:outlineLvl w:val="1"/>
    </w:pPr>
    <w:rPr>
      <w:b/>
      <w:i/>
      <w:sz w:val="24"/>
      <w:lang w:val="en-US"/>
    </w:rPr>
  </w:style>
  <w:style w:type="paragraph" w:styleId="Heading3">
    <w:name w:val="heading 3"/>
    <w:aliases w:val="1st sub-clause"/>
    <w:basedOn w:val="Normal"/>
    <w:next w:val="Normal"/>
    <w:link w:val="Heading3Char"/>
    <w:qFormat/>
    <w:rsid w:val="001643A3"/>
    <w:pPr>
      <w:keepNext/>
      <w:outlineLvl w:val="2"/>
    </w:pPr>
    <w:rPr>
      <w:i/>
    </w:rPr>
  </w:style>
  <w:style w:type="paragraph" w:styleId="Heading4">
    <w:name w:val="heading 4"/>
    <w:aliases w:val="h4,2nd sub-clause"/>
    <w:basedOn w:val="Normal"/>
    <w:next w:val="Normal"/>
    <w:link w:val="Heading4Char"/>
    <w:uiPriority w:val="9"/>
    <w:qFormat/>
    <w:rsid w:val="001643A3"/>
    <w:pPr>
      <w:keepNext/>
      <w:spacing w:before="240" w:after="120" w:line="360" w:lineRule="auto"/>
      <w:jc w:val="both"/>
      <w:outlineLvl w:val="3"/>
    </w:pPr>
    <w:rPr>
      <w:rFonts w:ascii="Helvetica" w:eastAsia="Times" w:hAnsi="Helvetica"/>
      <w:b/>
      <w:sz w:val="28"/>
    </w:rPr>
  </w:style>
  <w:style w:type="paragraph" w:styleId="Heading5">
    <w:name w:val="heading 5"/>
    <w:aliases w:val="3rd sub-clause"/>
    <w:basedOn w:val="Normal"/>
    <w:next w:val="Normal"/>
    <w:qFormat/>
    <w:rsid w:val="001643A3"/>
    <w:pPr>
      <w:spacing w:before="240" w:after="60"/>
      <w:outlineLvl w:val="4"/>
    </w:pPr>
    <w:rPr>
      <w:b/>
      <w:bCs/>
      <w:i/>
      <w:iCs/>
      <w:sz w:val="26"/>
      <w:szCs w:val="26"/>
    </w:rPr>
  </w:style>
  <w:style w:type="paragraph" w:styleId="Heading6">
    <w:name w:val="heading 6"/>
    <w:aliases w:val="Square Bullet list"/>
    <w:basedOn w:val="Normal"/>
    <w:next w:val="Normal"/>
    <w:link w:val="Heading6Char"/>
    <w:uiPriority w:val="9"/>
    <w:qFormat/>
    <w:rsid w:val="001643A3"/>
    <w:pPr>
      <w:keepNext/>
      <w:jc w:val="both"/>
      <w:outlineLvl w:val="5"/>
    </w:pPr>
    <w:rPr>
      <w:b/>
      <w:sz w:val="18"/>
    </w:rPr>
  </w:style>
  <w:style w:type="paragraph" w:styleId="Heading7">
    <w:name w:val="heading 7"/>
    <w:aliases w:val="Indented hyphen"/>
    <w:basedOn w:val="Normal"/>
    <w:next w:val="Normal"/>
    <w:qFormat/>
    <w:rsid w:val="001643A3"/>
    <w:pPr>
      <w:keepNext/>
      <w:jc w:val="both"/>
      <w:outlineLvl w:val="6"/>
    </w:pPr>
    <w:rPr>
      <w:b/>
    </w:rPr>
  </w:style>
  <w:style w:type="paragraph" w:styleId="Heading8">
    <w:name w:val="heading 8"/>
    <w:basedOn w:val="Normal"/>
    <w:qFormat/>
    <w:rsid w:val="001643A3"/>
    <w:pPr>
      <w:keepNext/>
      <w:jc w:val="center"/>
      <w:outlineLvl w:val="7"/>
    </w:pPr>
    <w:rPr>
      <w:b/>
      <w:i/>
      <w:sz w:val="32"/>
    </w:rPr>
  </w:style>
  <w:style w:type="paragraph" w:styleId="Heading9">
    <w:name w:val="heading 9"/>
    <w:basedOn w:val="Normal"/>
    <w:next w:val="Normal"/>
    <w:qFormat/>
    <w:rsid w:val="001643A3"/>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BodyText"/>
    <w:rsid w:val="001643A3"/>
    <w:pPr>
      <w:spacing w:after="0"/>
      <w:ind w:left="425" w:right="425"/>
      <w:jc w:val="both"/>
    </w:pPr>
    <w:rPr>
      <w:snapToGrid w:val="0"/>
      <w:sz w:val="18"/>
      <w:lang w:val="en-US"/>
    </w:rPr>
  </w:style>
  <w:style w:type="paragraph" w:styleId="BodyText">
    <w:name w:val="Body Text"/>
    <w:basedOn w:val="Normal"/>
    <w:link w:val="BodyTextChar"/>
    <w:rsid w:val="001643A3"/>
    <w:pPr>
      <w:spacing w:after="120"/>
    </w:pPr>
  </w:style>
  <w:style w:type="paragraph" w:styleId="Header">
    <w:name w:val="header"/>
    <w:basedOn w:val="Normal"/>
    <w:link w:val="HeaderChar"/>
    <w:uiPriority w:val="99"/>
    <w:rsid w:val="001643A3"/>
    <w:pPr>
      <w:tabs>
        <w:tab w:val="center" w:pos="4320"/>
        <w:tab w:val="right" w:pos="8640"/>
      </w:tabs>
    </w:pPr>
  </w:style>
  <w:style w:type="paragraph" w:styleId="Footer">
    <w:name w:val="footer"/>
    <w:basedOn w:val="Normal"/>
    <w:link w:val="FooterChar"/>
    <w:uiPriority w:val="99"/>
    <w:rsid w:val="001643A3"/>
    <w:pPr>
      <w:tabs>
        <w:tab w:val="center" w:pos="4320"/>
        <w:tab w:val="right" w:pos="8640"/>
      </w:tabs>
    </w:pPr>
  </w:style>
  <w:style w:type="character" w:styleId="PageNumber">
    <w:name w:val="page number"/>
    <w:basedOn w:val="DefaultParagraphFont"/>
    <w:semiHidden/>
    <w:rsid w:val="001643A3"/>
  </w:style>
  <w:style w:type="paragraph" w:customStyle="1" w:styleId="Paragraph">
    <w:name w:val="Paragraph"/>
    <w:basedOn w:val="Normal"/>
    <w:rsid w:val="001643A3"/>
    <w:pPr>
      <w:spacing w:after="120" w:line="360" w:lineRule="auto"/>
      <w:ind w:firstLine="720"/>
      <w:jc w:val="both"/>
    </w:pPr>
    <w:rPr>
      <w:rFonts w:ascii="Times" w:eastAsia="Times" w:hAnsi="Times"/>
      <w:sz w:val="28"/>
    </w:rPr>
  </w:style>
  <w:style w:type="character" w:styleId="Hyperlink">
    <w:name w:val="Hyperlink"/>
    <w:basedOn w:val="DefaultParagraphFont"/>
    <w:rsid w:val="001643A3"/>
    <w:rPr>
      <w:color w:val="0000FF"/>
      <w:u w:val="single"/>
    </w:rPr>
  </w:style>
  <w:style w:type="paragraph" w:styleId="FootnoteText">
    <w:name w:val="footnote text"/>
    <w:aliases w:val="(NECG) Footnote Text,Footnote Text Char"/>
    <w:basedOn w:val="Normal"/>
    <w:rsid w:val="001643A3"/>
    <w:rPr>
      <w:sz w:val="20"/>
      <w:lang w:val="en-US" w:eastAsia="en-US"/>
    </w:rPr>
  </w:style>
  <w:style w:type="character" w:styleId="FootnoteReference">
    <w:name w:val="footnote reference"/>
    <w:aliases w:val="(NECG) Footnote Reference"/>
    <w:basedOn w:val="DefaultParagraphFont"/>
    <w:rsid w:val="001643A3"/>
    <w:rPr>
      <w:vertAlign w:val="superscript"/>
    </w:rPr>
  </w:style>
  <w:style w:type="paragraph" w:styleId="EndnoteText">
    <w:name w:val="endnote text"/>
    <w:basedOn w:val="Normal"/>
    <w:link w:val="EndnoteTextChar"/>
    <w:uiPriority w:val="99"/>
    <w:rsid w:val="001643A3"/>
    <w:rPr>
      <w:sz w:val="20"/>
    </w:rPr>
  </w:style>
  <w:style w:type="character" w:styleId="EndnoteReference">
    <w:name w:val="endnote reference"/>
    <w:basedOn w:val="DefaultParagraphFont"/>
    <w:uiPriority w:val="99"/>
    <w:rsid w:val="001643A3"/>
    <w:rPr>
      <w:vertAlign w:val="superscript"/>
    </w:rPr>
  </w:style>
  <w:style w:type="paragraph" w:styleId="BodyText3">
    <w:name w:val="Body Text 3"/>
    <w:basedOn w:val="Normal"/>
    <w:semiHidden/>
    <w:rsid w:val="001643A3"/>
    <w:pPr>
      <w:spacing w:after="120"/>
    </w:pPr>
    <w:rPr>
      <w:sz w:val="16"/>
      <w:szCs w:val="16"/>
    </w:rPr>
  </w:style>
  <w:style w:type="character" w:customStyle="1" w:styleId="CharSectno">
    <w:name w:val="CharSectno"/>
    <w:basedOn w:val="DefaultParagraphFont"/>
    <w:rsid w:val="001643A3"/>
  </w:style>
  <w:style w:type="paragraph" w:customStyle="1" w:styleId="Subsection">
    <w:name w:val="Subsection"/>
    <w:aliases w:val="ss,subsection"/>
    <w:basedOn w:val="Normal"/>
    <w:rsid w:val="001643A3"/>
    <w:pPr>
      <w:tabs>
        <w:tab w:val="right" w:pos="1021"/>
      </w:tabs>
      <w:autoSpaceDE w:val="0"/>
      <w:autoSpaceDN w:val="0"/>
      <w:spacing w:before="180" w:line="260" w:lineRule="atLeast"/>
      <w:ind w:left="1134" w:hanging="1134"/>
    </w:pPr>
    <w:rPr>
      <w:rFonts w:ascii="Times" w:hAnsi="Times"/>
      <w:szCs w:val="22"/>
      <w:lang w:eastAsia="en-US"/>
    </w:rPr>
  </w:style>
  <w:style w:type="paragraph" w:customStyle="1" w:styleId="indenta">
    <w:name w:val="indent(a)"/>
    <w:aliases w:val="a"/>
    <w:basedOn w:val="Normal"/>
    <w:rsid w:val="001643A3"/>
    <w:pPr>
      <w:tabs>
        <w:tab w:val="right" w:pos="1531"/>
      </w:tabs>
      <w:autoSpaceDE w:val="0"/>
      <w:autoSpaceDN w:val="0"/>
      <w:spacing w:before="40" w:line="260" w:lineRule="atLeast"/>
      <w:ind w:left="1644" w:hanging="1644"/>
    </w:pPr>
    <w:rPr>
      <w:rFonts w:ascii="Times" w:hAnsi="Times"/>
      <w:szCs w:val="22"/>
      <w:lang w:eastAsia="en-US"/>
    </w:rPr>
  </w:style>
  <w:style w:type="paragraph" w:customStyle="1" w:styleId="quotation">
    <w:name w:val="quotation"/>
    <w:basedOn w:val="Normal"/>
    <w:rsid w:val="001643A3"/>
    <w:pPr>
      <w:spacing w:before="240"/>
      <w:ind w:left="851" w:right="567"/>
      <w:jc w:val="both"/>
    </w:pPr>
    <w:rPr>
      <w:rFonts w:ascii="Helvetica" w:eastAsia="Times" w:hAnsi="Helvetica"/>
      <w:lang w:eastAsia="en-US"/>
    </w:rPr>
  </w:style>
  <w:style w:type="paragraph" w:customStyle="1" w:styleId="NumbParas">
    <w:name w:val="Numb Paras"/>
    <w:basedOn w:val="Normal"/>
    <w:rsid w:val="001643A3"/>
    <w:pPr>
      <w:numPr>
        <w:numId w:val="1"/>
      </w:numPr>
      <w:overflowPunct w:val="0"/>
      <w:autoSpaceDE w:val="0"/>
      <w:autoSpaceDN w:val="0"/>
      <w:adjustRightInd w:val="0"/>
      <w:spacing w:before="120" w:after="120" w:line="360" w:lineRule="atLeast"/>
      <w:jc w:val="both"/>
      <w:textAlignment w:val="baseline"/>
    </w:pPr>
    <w:rPr>
      <w:lang w:eastAsia="en-US"/>
    </w:rPr>
  </w:style>
  <w:style w:type="character" w:customStyle="1" w:styleId="casecite">
    <w:name w:val="casecite"/>
    <w:basedOn w:val="DefaultParagraphFont"/>
    <w:rsid w:val="001643A3"/>
  </w:style>
  <w:style w:type="paragraph" w:styleId="BalloonText">
    <w:name w:val="Balloon Text"/>
    <w:basedOn w:val="Normal"/>
    <w:link w:val="BalloonTextChar"/>
    <w:uiPriority w:val="99"/>
    <w:rsid w:val="001643A3"/>
    <w:rPr>
      <w:rFonts w:ascii="Tahoma" w:hAnsi="Tahoma" w:cs="Tahoma"/>
      <w:sz w:val="16"/>
      <w:szCs w:val="16"/>
    </w:rPr>
  </w:style>
  <w:style w:type="character" w:customStyle="1" w:styleId="Heading1Char">
    <w:name w:val="Heading 1 Char"/>
    <w:basedOn w:val="DefaultParagraphFont"/>
    <w:rsid w:val="001643A3"/>
    <w:rPr>
      <w:rFonts w:ascii="Arial" w:hAnsi="Arial"/>
      <w:b/>
      <w:noProof w:val="0"/>
      <w:snapToGrid w:val="0"/>
      <w:sz w:val="22"/>
      <w:lang w:val="en-US" w:eastAsia="en-US" w:bidi="ar-SA"/>
    </w:rPr>
  </w:style>
  <w:style w:type="paragraph" w:styleId="BodyText2">
    <w:name w:val="Body Text 2"/>
    <w:basedOn w:val="Normal"/>
    <w:semiHidden/>
    <w:rsid w:val="001643A3"/>
    <w:pPr>
      <w:jc w:val="both"/>
    </w:pPr>
  </w:style>
  <w:style w:type="paragraph" w:styleId="BodyTextIndent">
    <w:name w:val="Body Text Indent"/>
    <w:basedOn w:val="Normal"/>
    <w:link w:val="BodyTextIndentChar"/>
    <w:semiHidden/>
    <w:rsid w:val="001643A3"/>
    <w:pPr>
      <w:ind w:left="720"/>
    </w:pPr>
    <w:rPr>
      <w:rFonts w:ascii="Times New Roman" w:hAnsi="Times New Roman"/>
      <w:i/>
      <w:sz w:val="24"/>
    </w:rPr>
  </w:style>
  <w:style w:type="paragraph" w:customStyle="1" w:styleId="quoate">
    <w:name w:val="quoate"/>
    <w:basedOn w:val="Header"/>
    <w:rsid w:val="001643A3"/>
    <w:pPr>
      <w:jc w:val="both"/>
    </w:pPr>
  </w:style>
  <w:style w:type="paragraph" w:customStyle="1" w:styleId="Number1">
    <w:name w:val="Number 1"/>
    <w:basedOn w:val="TxtParagraph"/>
    <w:rsid w:val="001643A3"/>
    <w:pPr>
      <w:numPr>
        <w:numId w:val="3"/>
      </w:numPr>
    </w:pPr>
  </w:style>
  <w:style w:type="paragraph" w:customStyle="1" w:styleId="TxtParagraph">
    <w:name w:val="Txt  Paragraph"/>
    <w:basedOn w:val="NormalBase"/>
    <w:rsid w:val="001643A3"/>
    <w:rPr>
      <w:color w:val="000000"/>
    </w:rPr>
  </w:style>
  <w:style w:type="paragraph" w:customStyle="1" w:styleId="NormalBase">
    <w:name w:val="Normal Base"/>
    <w:rsid w:val="001643A3"/>
    <w:pPr>
      <w:tabs>
        <w:tab w:val="left" w:pos="567"/>
      </w:tabs>
      <w:spacing w:before="120" w:after="120" w:line="300" w:lineRule="atLeast"/>
      <w:jc w:val="both"/>
    </w:pPr>
    <w:rPr>
      <w:lang w:val="en-AU" w:eastAsia="en-AU"/>
    </w:rPr>
  </w:style>
  <w:style w:type="paragraph" w:customStyle="1" w:styleId="Numbera">
    <w:name w:val="Number(a)"/>
    <w:basedOn w:val="TxtIndent2"/>
    <w:rsid w:val="001643A3"/>
    <w:pPr>
      <w:numPr>
        <w:ilvl w:val="1"/>
        <w:numId w:val="3"/>
      </w:numPr>
    </w:pPr>
  </w:style>
  <w:style w:type="paragraph" w:customStyle="1" w:styleId="TxtIndent2">
    <w:name w:val="Txt Indent 2"/>
    <w:basedOn w:val="TxtParagraph"/>
    <w:rsid w:val="001643A3"/>
    <w:pPr>
      <w:tabs>
        <w:tab w:val="clear" w:pos="567"/>
      </w:tabs>
      <w:spacing w:before="80" w:after="80" w:line="280" w:lineRule="atLeast"/>
      <w:ind w:left="1134" w:hanging="567"/>
    </w:pPr>
  </w:style>
  <w:style w:type="paragraph" w:customStyle="1" w:styleId="Numberi">
    <w:name w:val="Number(i)"/>
    <w:basedOn w:val="TxtIndent3"/>
    <w:rsid w:val="001643A3"/>
    <w:pPr>
      <w:tabs>
        <w:tab w:val="num" w:pos="1701"/>
      </w:tabs>
    </w:pPr>
  </w:style>
  <w:style w:type="paragraph" w:customStyle="1" w:styleId="TxtIndent3">
    <w:name w:val="Txt Indent 3"/>
    <w:basedOn w:val="TxtParagraph"/>
    <w:rsid w:val="001643A3"/>
    <w:pPr>
      <w:tabs>
        <w:tab w:val="clear" w:pos="567"/>
      </w:tabs>
      <w:spacing w:before="80" w:after="80" w:line="280" w:lineRule="atLeast"/>
      <w:ind w:left="1701" w:hanging="567"/>
    </w:pPr>
  </w:style>
  <w:style w:type="paragraph" w:styleId="ListBullet">
    <w:name w:val="List Bullet"/>
    <w:basedOn w:val="Normal"/>
    <w:autoRedefine/>
    <w:semiHidden/>
    <w:rsid w:val="001643A3"/>
    <w:pPr>
      <w:numPr>
        <w:numId w:val="2"/>
      </w:numPr>
      <w:tabs>
        <w:tab w:val="clear" w:pos="360"/>
      </w:tabs>
      <w:spacing w:after="220"/>
      <w:ind w:left="964" w:hanging="964"/>
    </w:pPr>
    <w:rPr>
      <w:rFonts w:ascii="Times New Roman" w:hAnsi="Times New Roman"/>
    </w:rPr>
  </w:style>
  <w:style w:type="character" w:customStyle="1" w:styleId="partiesnames">
    <w:name w:val="partiesnames"/>
    <w:basedOn w:val="DefaultParagraphFont"/>
    <w:rsid w:val="001643A3"/>
  </w:style>
  <w:style w:type="character" w:styleId="CommentReference">
    <w:name w:val="annotation reference"/>
    <w:basedOn w:val="DefaultParagraphFont"/>
    <w:uiPriority w:val="99"/>
    <w:semiHidden/>
    <w:rsid w:val="001643A3"/>
    <w:rPr>
      <w:sz w:val="16"/>
      <w:szCs w:val="16"/>
    </w:rPr>
  </w:style>
  <w:style w:type="paragraph" w:styleId="CommentText">
    <w:name w:val="annotation text"/>
    <w:basedOn w:val="Normal"/>
    <w:link w:val="CommentTextChar"/>
    <w:uiPriority w:val="99"/>
    <w:semiHidden/>
    <w:rsid w:val="001643A3"/>
    <w:rPr>
      <w:sz w:val="20"/>
    </w:rPr>
  </w:style>
  <w:style w:type="paragraph" w:styleId="CommentSubject">
    <w:name w:val="annotation subject"/>
    <w:basedOn w:val="CommentText"/>
    <w:next w:val="CommentText"/>
    <w:link w:val="CommentSubjectChar"/>
    <w:uiPriority w:val="99"/>
    <w:semiHidden/>
    <w:rsid w:val="001643A3"/>
    <w:rPr>
      <w:b/>
      <w:bCs/>
    </w:rPr>
  </w:style>
  <w:style w:type="character" w:styleId="FollowedHyperlink">
    <w:name w:val="FollowedHyperlink"/>
    <w:basedOn w:val="DefaultParagraphFont"/>
    <w:rsid w:val="001643A3"/>
    <w:rPr>
      <w:color w:val="800080"/>
      <w:u w:val="single"/>
    </w:rPr>
  </w:style>
  <w:style w:type="paragraph" w:styleId="TOC8">
    <w:name w:val="toc 8"/>
    <w:basedOn w:val="Normal"/>
    <w:next w:val="Normal"/>
    <w:autoRedefine/>
    <w:semiHidden/>
    <w:rsid w:val="001643A3"/>
    <w:pPr>
      <w:ind w:left="1680"/>
    </w:pPr>
    <w:rPr>
      <w:rFonts w:ascii="Times New Roman" w:hAnsi="Times New Roman"/>
      <w:sz w:val="20"/>
    </w:rPr>
  </w:style>
  <w:style w:type="paragraph" w:styleId="TOC6">
    <w:name w:val="toc 6"/>
    <w:basedOn w:val="Normal"/>
    <w:next w:val="Normal"/>
    <w:autoRedefine/>
    <w:semiHidden/>
    <w:rsid w:val="001643A3"/>
    <w:pPr>
      <w:numPr>
        <w:numId w:val="4"/>
      </w:numPr>
      <w:ind w:left="1200"/>
    </w:pPr>
    <w:rPr>
      <w:rFonts w:ascii="Times New Roman" w:hAnsi="Times New Roman"/>
      <w:sz w:val="20"/>
    </w:rPr>
  </w:style>
  <w:style w:type="paragraph" w:customStyle="1" w:styleId="Bullet">
    <w:name w:val="Bullet"/>
    <w:basedOn w:val="Normal"/>
    <w:rsid w:val="00EF2730"/>
    <w:pPr>
      <w:numPr>
        <w:numId w:val="6"/>
      </w:numPr>
      <w:spacing w:after="240"/>
      <w:ind w:left="425" w:hanging="425"/>
    </w:pPr>
    <w:rPr>
      <w:rFonts w:eastAsia="Times"/>
    </w:rPr>
  </w:style>
  <w:style w:type="paragraph" w:styleId="BodyTextIndent2">
    <w:name w:val="Body Text Indent 2"/>
    <w:basedOn w:val="Normal"/>
    <w:semiHidden/>
    <w:rsid w:val="0016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pPr>
    <w:rPr>
      <w:rFonts w:ascii="Times New Roman" w:hAnsi="Times New Roman"/>
      <w:sz w:val="24"/>
      <w:lang w:val="en-US"/>
    </w:rPr>
  </w:style>
  <w:style w:type="paragraph" w:customStyle="1" w:styleId="HR">
    <w:name w:val="HR"/>
    <w:aliases w:val="Regulation Heading"/>
    <w:basedOn w:val="Normal"/>
    <w:next w:val="Normal"/>
    <w:rsid w:val="001643A3"/>
    <w:pPr>
      <w:keepNext/>
      <w:spacing w:before="360"/>
      <w:ind w:left="964" w:hanging="964"/>
    </w:pPr>
    <w:rPr>
      <w:b/>
      <w:sz w:val="24"/>
    </w:rPr>
  </w:style>
  <w:style w:type="paragraph" w:customStyle="1" w:styleId="P1">
    <w:name w:val="P1"/>
    <w:aliases w:val="(a)"/>
    <w:basedOn w:val="Normal"/>
    <w:rsid w:val="001643A3"/>
    <w:pPr>
      <w:tabs>
        <w:tab w:val="right" w:pos="1191"/>
      </w:tabs>
      <w:spacing w:before="60" w:line="260" w:lineRule="exact"/>
      <w:ind w:left="1418" w:hanging="1418"/>
      <w:jc w:val="both"/>
    </w:pPr>
    <w:rPr>
      <w:rFonts w:ascii="Times New Roman" w:hAnsi="Times New Roman"/>
      <w:sz w:val="24"/>
    </w:rPr>
  </w:style>
  <w:style w:type="paragraph" w:customStyle="1" w:styleId="R1">
    <w:name w:val="R1"/>
    <w:aliases w:val="1. or 1.(1)"/>
    <w:basedOn w:val="Normal"/>
    <w:next w:val="Normal"/>
    <w:rsid w:val="001643A3"/>
    <w:pPr>
      <w:tabs>
        <w:tab w:val="right" w:pos="794"/>
      </w:tabs>
      <w:spacing w:before="120" w:line="260" w:lineRule="exact"/>
      <w:ind w:left="964" w:hanging="964"/>
      <w:jc w:val="both"/>
    </w:pPr>
    <w:rPr>
      <w:rFonts w:ascii="Times New Roman" w:hAnsi="Times New Roman"/>
      <w:sz w:val="24"/>
    </w:rPr>
  </w:style>
  <w:style w:type="paragraph" w:customStyle="1" w:styleId="R2">
    <w:name w:val="R2"/>
    <w:aliases w:val="(2)"/>
    <w:basedOn w:val="Normal"/>
    <w:rsid w:val="001643A3"/>
    <w:pPr>
      <w:tabs>
        <w:tab w:val="right" w:pos="794"/>
      </w:tabs>
      <w:spacing w:before="180" w:line="260" w:lineRule="exact"/>
      <w:ind w:left="964" w:hanging="964"/>
      <w:jc w:val="both"/>
    </w:pPr>
    <w:rPr>
      <w:rFonts w:ascii="Times New Roman" w:hAnsi="Times New Roman"/>
      <w:sz w:val="24"/>
    </w:rPr>
  </w:style>
  <w:style w:type="paragraph" w:customStyle="1" w:styleId="Rc">
    <w:name w:val="Rc"/>
    <w:aliases w:val="Rn continued"/>
    <w:basedOn w:val="Normal"/>
    <w:next w:val="R2"/>
    <w:rsid w:val="001643A3"/>
    <w:pPr>
      <w:spacing w:before="60" w:line="260" w:lineRule="exact"/>
      <w:ind w:left="964"/>
      <w:jc w:val="both"/>
    </w:pPr>
    <w:rPr>
      <w:rFonts w:ascii="Times New Roman" w:hAnsi="Times New Roman"/>
      <w:sz w:val="24"/>
    </w:rPr>
  </w:style>
  <w:style w:type="paragraph" w:customStyle="1" w:styleId="ZR2">
    <w:name w:val="ZR2"/>
    <w:basedOn w:val="R2"/>
    <w:rsid w:val="001643A3"/>
    <w:pPr>
      <w:keepNext/>
    </w:pPr>
  </w:style>
  <w:style w:type="paragraph" w:customStyle="1" w:styleId="NumberLevel1">
    <w:name w:val="Number Level 1"/>
    <w:basedOn w:val="Normal"/>
    <w:rsid w:val="001643A3"/>
    <w:pPr>
      <w:spacing w:before="140" w:after="140" w:line="280" w:lineRule="atLeast"/>
      <w:outlineLvl w:val="0"/>
    </w:pPr>
    <w:rPr>
      <w:rFonts w:ascii="Times New Roman" w:hAnsi="Times New Roman"/>
    </w:rPr>
  </w:style>
  <w:style w:type="paragraph" w:customStyle="1" w:styleId="NumberLevel2">
    <w:name w:val="Number Level 2"/>
    <w:basedOn w:val="Normal"/>
    <w:rsid w:val="001643A3"/>
    <w:pPr>
      <w:spacing w:before="140" w:after="140" w:line="280" w:lineRule="atLeast"/>
      <w:ind w:left="988" w:hanging="421"/>
      <w:outlineLvl w:val="1"/>
    </w:pPr>
    <w:rPr>
      <w:rFonts w:ascii="Times New Roman" w:hAnsi="Times New Roman"/>
    </w:rPr>
  </w:style>
  <w:style w:type="paragraph" w:customStyle="1" w:styleId="Recitals">
    <w:name w:val="Recitals"/>
    <w:basedOn w:val="Normal"/>
    <w:rsid w:val="001643A3"/>
    <w:pPr>
      <w:numPr>
        <w:numId w:val="5"/>
      </w:numPr>
      <w:spacing w:before="240" w:after="120"/>
      <w:jc w:val="both"/>
    </w:pPr>
    <w:rPr>
      <w:rFonts w:ascii="Times New Roman" w:hAnsi="Times New Roman"/>
      <w:sz w:val="24"/>
    </w:rPr>
  </w:style>
  <w:style w:type="character" w:customStyle="1" w:styleId="BodyText2Char">
    <w:name w:val="Body Text 2 Char"/>
    <w:basedOn w:val="DefaultParagraphFont"/>
    <w:rsid w:val="001643A3"/>
    <w:rPr>
      <w:rFonts w:eastAsia="Times"/>
      <w:noProof w:val="0"/>
      <w:sz w:val="24"/>
      <w:lang w:val="en-AU" w:eastAsia="en-AU" w:bidi="ar-SA"/>
    </w:rPr>
  </w:style>
  <w:style w:type="paragraph" w:styleId="ListParagraph">
    <w:name w:val="List Paragraph"/>
    <w:basedOn w:val="Normal"/>
    <w:uiPriority w:val="34"/>
    <w:qFormat/>
    <w:rsid w:val="00C427EA"/>
    <w:pPr>
      <w:ind w:left="720"/>
    </w:pPr>
    <w:rPr>
      <w:rFonts w:ascii="Times New Roman" w:hAnsi="Times New Roman"/>
      <w:sz w:val="24"/>
      <w:lang w:eastAsia="en-US"/>
    </w:rPr>
  </w:style>
  <w:style w:type="character" w:customStyle="1" w:styleId="HeaderChar">
    <w:name w:val="Header Char"/>
    <w:link w:val="Header"/>
    <w:uiPriority w:val="99"/>
    <w:rsid w:val="004C58C4"/>
    <w:rPr>
      <w:rFonts w:ascii="Arial" w:hAnsi="Arial"/>
      <w:sz w:val="22"/>
      <w:lang w:val="en-AU" w:eastAsia="en-AU"/>
    </w:rPr>
  </w:style>
  <w:style w:type="character" w:customStyle="1" w:styleId="FooterChar">
    <w:name w:val="Footer Char"/>
    <w:link w:val="Footer"/>
    <w:uiPriority w:val="99"/>
    <w:rsid w:val="004C58C4"/>
    <w:rPr>
      <w:rFonts w:ascii="Arial" w:hAnsi="Arial"/>
      <w:sz w:val="22"/>
      <w:lang w:val="en-AU" w:eastAsia="en-AU"/>
    </w:rPr>
  </w:style>
  <w:style w:type="paragraph" w:styleId="NormalWeb">
    <w:name w:val="Normal (Web)"/>
    <w:basedOn w:val="Normal"/>
    <w:unhideWhenUsed/>
    <w:rsid w:val="004C58C4"/>
    <w:pPr>
      <w:spacing w:before="100" w:beforeAutospacing="1" w:after="100" w:afterAutospacing="1"/>
    </w:pPr>
    <w:rPr>
      <w:rFonts w:ascii="Times New Roman" w:hAnsi="Times New Roman"/>
      <w:sz w:val="24"/>
    </w:rPr>
  </w:style>
  <w:style w:type="character" w:customStyle="1" w:styleId="BalloonTextChar">
    <w:name w:val="Balloon Text Char"/>
    <w:link w:val="BalloonText"/>
    <w:uiPriority w:val="99"/>
    <w:rsid w:val="004C58C4"/>
    <w:rPr>
      <w:rFonts w:ascii="Tahoma" w:hAnsi="Tahoma" w:cs="Tahoma"/>
      <w:sz w:val="16"/>
      <w:szCs w:val="16"/>
      <w:lang w:val="en-AU" w:eastAsia="en-AU"/>
    </w:rPr>
  </w:style>
  <w:style w:type="character" w:customStyle="1" w:styleId="Heading3Char">
    <w:name w:val="Heading 3 Char"/>
    <w:aliases w:val="1st sub-clause Char"/>
    <w:link w:val="Heading3"/>
    <w:rsid w:val="00FF7DC9"/>
    <w:rPr>
      <w:rFonts w:ascii="Arial" w:hAnsi="Arial"/>
      <w:i/>
      <w:sz w:val="22"/>
      <w:lang w:val="en-AU" w:eastAsia="en-AU"/>
    </w:rPr>
  </w:style>
  <w:style w:type="character" w:styleId="Emphasis">
    <w:name w:val="Emphasis"/>
    <w:uiPriority w:val="20"/>
    <w:qFormat/>
    <w:rsid w:val="00FF7DC9"/>
    <w:rPr>
      <w:i/>
      <w:iCs/>
    </w:rPr>
  </w:style>
  <w:style w:type="paragraph" w:customStyle="1" w:styleId="p4">
    <w:name w:val="p4"/>
    <w:basedOn w:val="Normal"/>
    <w:rsid w:val="00FF7DC9"/>
    <w:pPr>
      <w:spacing w:before="100" w:beforeAutospacing="1" w:after="100" w:afterAutospacing="1"/>
    </w:pPr>
    <w:rPr>
      <w:rFonts w:ascii="Times New Roman" w:hAnsi="Times New Roman"/>
      <w:sz w:val="24"/>
    </w:rPr>
  </w:style>
  <w:style w:type="character" w:customStyle="1" w:styleId="EndnoteTextChar">
    <w:name w:val="Endnote Text Char"/>
    <w:link w:val="EndnoteText"/>
    <w:uiPriority w:val="99"/>
    <w:rsid w:val="00FF7DC9"/>
    <w:rPr>
      <w:rFonts w:ascii="Arial" w:hAnsi="Arial"/>
      <w:lang w:val="en-AU" w:eastAsia="en-AU"/>
    </w:rPr>
  </w:style>
  <w:style w:type="character" w:styleId="Strong">
    <w:name w:val="Strong"/>
    <w:basedOn w:val="DefaultParagraphFont"/>
    <w:qFormat/>
    <w:rsid w:val="00973257"/>
    <w:rPr>
      <w:b/>
      <w:bCs/>
    </w:rPr>
  </w:style>
  <w:style w:type="paragraph" w:customStyle="1" w:styleId="Default">
    <w:name w:val="Default"/>
    <w:rsid w:val="00973257"/>
    <w:pPr>
      <w:autoSpaceDE w:val="0"/>
      <w:autoSpaceDN w:val="0"/>
      <w:adjustRightInd w:val="0"/>
    </w:pPr>
    <w:rPr>
      <w:rFonts w:ascii="Tahoma" w:eastAsiaTheme="minorHAnsi" w:hAnsi="Tahoma" w:cs="Tahoma"/>
      <w:color w:val="000000"/>
      <w:lang w:val="en-AU"/>
    </w:rPr>
  </w:style>
  <w:style w:type="character" w:customStyle="1" w:styleId="caps">
    <w:name w:val="caps"/>
    <w:basedOn w:val="DefaultParagraphFont"/>
    <w:rsid w:val="00973257"/>
  </w:style>
  <w:style w:type="character" w:customStyle="1" w:styleId="Heading2Char">
    <w:name w:val="Heading 2 Char"/>
    <w:aliases w:val="Sub-heading Char"/>
    <w:basedOn w:val="DefaultParagraphFont"/>
    <w:link w:val="Heading2"/>
    <w:uiPriority w:val="9"/>
    <w:rsid w:val="00973257"/>
    <w:rPr>
      <w:rFonts w:ascii="Arial" w:hAnsi="Arial"/>
      <w:b/>
      <w:i/>
      <w:lang w:eastAsia="en-AU"/>
    </w:rPr>
  </w:style>
  <w:style w:type="character" w:customStyle="1" w:styleId="Heading4Char">
    <w:name w:val="Heading 4 Char"/>
    <w:aliases w:val="h4 Char,2nd sub-clause Char"/>
    <w:basedOn w:val="DefaultParagraphFont"/>
    <w:link w:val="Heading4"/>
    <w:uiPriority w:val="9"/>
    <w:rsid w:val="00973257"/>
    <w:rPr>
      <w:rFonts w:ascii="Helvetica" w:eastAsia="Times" w:hAnsi="Helvetica"/>
      <w:b/>
      <w:sz w:val="28"/>
      <w:lang w:val="en-AU" w:eastAsia="en-AU"/>
    </w:rPr>
  </w:style>
  <w:style w:type="paragraph" w:customStyle="1" w:styleId="Para1">
    <w:name w:val="Para 1"/>
    <w:basedOn w:val="Normal"/>
    <w:uiPriority w:val="99"/>
    <w:rsid w:val="00973257"/>
    <w:pPr>
      <w:numPr>
        <w:numId w:val="7"/>
      </w:numPr>
      <w:spacing w:after="120" w:line="300" w:lineRule="atLeast"/>
    </w:pPr>
    <w:rPr>
      <w:rFonts w:ascii="Times New Roman" w:hAnsi="Times New Roman"/>
      <w:sz w:val="26"/>
      <w:szCs w:val="26"/>
      <w:lang w:eastAsia="en-US"/>
    </w:rPr>
  </w:style>
  <w:style w:type="character" w:customStyle="1" w:styleId="CommentTextChar">
    <w:name w:val="Comment Text Char"/>
    <w:basedOn w:val="DefaultParagraphFont"/>
    <w:link w:val="CommentText"/>
    <w:uiPriority w:val="99"/>
    <w:semiHidden/>
    <w:rsid w:val="00973257"/>
    <w:rPr>
      <w:rFonts w:ascii="Arial" w:hAnsi="Arial"/>
      <w:sz w:val="20"/>
      <w:lang w:val="en-AU" w:eastAsia="en-AU"/>
    </w:rPr>
  </w:style>
  <w:style w:type="character" w:customStyle="1" w:styleId="CommentSubjectChar">
    <w:name w:val="Comment Subject Char"/>
    <w:basedOn w:val="CommentTextChar"/>
    <w:link w:val="CommentSubject"/>
    <w:uiPriority w:val="99"/>
    <w:semiHidden/>
    <w:rsid w:val="00973257"/>
    <w:rPr>
      <w:rFonts w:ascii="Arial" w:hAnsi="Arial"/>
      <w:b/>
      <w:bCs/>
      <w:sz w:val="20"/>
      <w:lang w:val="en-AU" w:eastAsia="en-AU"/>
    </w:rPr>
  </w:style>
  <w:style w:type="paragraph" w:customStyle="1" w:styleId="judgmentpara">
    <w:name w:val="judgment_para"/>
    <w:basedOn w:val="Normal"/>
    <w:rsid w:val="00973257"/>
    <w:pPr>
      <w:spacing w:before="100" w:beforeAutospacing="1" w:after="100" w:afterAutospacing="1"/>
    </w:pPr>
    <w:rPr>
      <w:rFonts w:ascii="Times New Roman" w:hAnsi="Times New Roman"/>
      <w:sz w:val="24"/>
    </w:rPr>
  </w:style>
  <w:style w:type="character" w:customStyle="1" w:styleId="BodyTextChar">
    <w:name w:val="Body Text Char"/>
    <w:basedOn w:val="DefaultParagraphFont"/>
    <w:link w:val="BodyText"/>
    <w:rsid w:val="00973257"/>
    <w:rPr>
      <w:rFonts w:ascii="Arial" w:hAnsi="Arial"/>
      <w:sz w:val="22"/>
      <w:lang w:val="en-AU" w:eastAsia="en-AU"/>
    </w:rPr>
  </w:style>
  <w:style w:type="character" w:customStyle="1" w:styleId="BodyTextIndentChar">
    <w:name w:val="Body Text Indent Char"/>
    <w:basedOn w:val="DefaultParagraphFont"/>
    <w:link w:val="BodyTextIndent"/>
    <w:semiHidden/>
    <w:rsid w:val="00973257"/>
    <w:rPr>
      <w:i/>
      <w:lang w:val="en-AU" w:eastAsia="en-AU"/>
    </w:rPr>
  </w:style>
  <w:style w:type="paragraph" w:styleId="NoSpacing">
    <w:name w:val="No Spacing"/>
    <w:rsid w:val="00EF2730"/>
    <w:rPr>
      <w:rFonts w:ascii="Arial" w:hAnsi="Arial"/>
      <w:sz w:val="22"/>
      <w:lang w:val="en-AU" w:eastAsia="en-AU"/>
    </w:rPr>
  </w:style>
  <w:style w:type="paragraph" w:styleId="Quote">
    <w:name w:val="Quote"/>
    <w:basedOn w:val="Normal"/>
    <w:next w:val="Normal"/>
    <w:link w:val="QuoteChar"/>
    <w:rsid w:val="00474BD2"/>
    <w:rPr>
      <w:iCs/>
      <w:color w:val="000000" w:themeColor="text1"/>
      <w:sz w:val="18"/>
    </w:rPr>
  </w:style>
  <w:style w:type="character" w:customStyle="1" w:styleId="QuoteChar">
    <w:name w:val="Quote Char"/>
    <w:basedOn w:val="DefaultParagraphFont"/>
    <w:link w:val="Quote"/>
    <w:rsid w:val="00474BD2"/>
    <w:rPr>
      <w:rFonts w:ascii="Arial" w:hAnsi="Arial"/>
      <w:iCs/>
      <w:color w:val="000000" w:themeColor="text1"/>
      <w:sz w:val="18"/>
      <w:lang w:val="en-AU" w:eastAsia="en-AU"/>
    </w:rPr>
  </w:style>
  <w:style w:type="paragraph" w:customStyle="1" w:styleId="Number">
    <w:name w:val="Number"/>
    <w:basedOn w:val="Normal"/>
    <w:qFormat/>
    <w:rsid w:val="009F528F"/>
    <w:pPr>
      <w:numPr>
        <w:numId w:val="9"/>
      </w:numPr>
      <w:tabs>
        <w:tab w:val="left" w:pos="709"/>
      </w:tabs>
      <w:spacing w:before="360" w:line="360" w:lineRule="auto"/>
      <w:jc w:val="both"/>
    </w:pPr>
    <w:rPr>
      <w:rFonts w:ascii="Times New Roman" w:hAnsi="Times New Roman"/>
      <w:sz w:val="24"/>
      <w:szCs w:val="20"/>
      <w:lang w:val="en-GB" w:eastAsia="en-NZ"/>
    </w:rPr>
  </w:style>
  <w:style w:type="paragraph" w:customStyle="1" w:styleId="Subheading">
    <w:name w:val="Subheading"/>
    <w:basedOn w:val="Normal"/>
    <w:next w:val="Number"/>
    <w:link w:val="SubheadingChar"/>
    <w:qFormat/>
    <w:rsid w:val="009F528F"/>
    <w:pPr>
      <w:tabs>
        <w:tab w:val="left" w:pos="709"/>
        <w:tab w:val="left" w:pos="1418"/>
        <w:tab w:val="left" w:pos="2126"/>
        <w:tab w:val="left" w:pos="2835"/>
        <w:tab w:val="left" w:pos="3544"/>
        <w:tab w:val="left" w:pos="4253"/>
        <w:tab w:val="left" w:pos="4961"/>
      </w:tabs>
      <w:spacing w:before="480" w:after="240"/>
      <w:jc w:val="both"/>
    </w:pPr>
    <w:rPr>
      <w:rFonts w:ascii="Times New Roman" w:hAnsi="Times New Roman"/>
      <w:b/>
      <w:sz w:val="24"/>
      <w:szCs w:val="20"/>
      <w:lang w:val="en-GB" w:eastAsia="x-none"/>
    </w:rPr>
  </w:style>
  <w:style w:type="paragraph" w:customStyle="1" w:styleId="Quotations">
    <w:name w:val="Quotations"/>
    <w:basedOn w:val="Normal"/>
    <w:next w:val="Number"/>
    <w:qFormat/>
    <w:rsid w:val="009F528F"/>
    <w:pPr>
      <w:tabs>
        <w:tab w:val="left" w:pos="709"/>
        <w:tab w:val="left" w:pos="1418"/>
        <w:tab w:val="left" w:pos="2126"/>
        <w:tab w:val="left" w:pos="2835"/>
        <w:tab w:val="left" w:pos="3544"/>
        <w:tab w:val="left" w:pos="4253"/>
        <w:tab w:val="left" w:pos="4961"/>
      </w:tabs>
      <w:spacing w:before="240"/>
      <w:ind w:left="709" w:right="686"/>
      <w:jc w:val="both"/>
    </w:pPr>
    <w:rPr>
      <w:rFonts w:ascii="Times New Roman" w:hAnsi="Times New Roman"/>
      <w:szCs w:val="20"/>
      <w:lang w:val="en-GB" w:eastAsia="en-NZ"/>
    </w:rPr>
  </w:style>
  <w:style w:type="character" w:styleId="BookTitle">
    <w:name w:val="Book Title"/>
    <w:uiPriority w:val="33"/>
    <w:qFormat/>
    <w:rsid w:val="009F528F"/>
    <w:rPr>
      <w:b/>
      <w:bCs/>
      <w:smallCaps/>
      <w:spacing w:val="5"/>
    </w:rPr>
  </w:style>
  <w:style w:type="character" w:customStyle="1" w:styleId="SubheadingChar">
    <w:name w:val="Subheading Char"/>
    <w:link w:val="Subheading"/>
    <w:rsid w:val="009F528F"/>
    <w:rPr>
      <w:b/>
      <w:szCs w:val="20"/>
      <w:lang w:val="en-GB" w:eastAsia="x-none"/>
    </w:rPr>
  </w:style>
  <w:style w:type="character" w:customStyle="1" w:styleId="verdana">
    <w:name w:val="verdana"/>
    <w:basedOn w:val="DefaultParagraphFont"/>
    <w:rsid w:val="009F528F"/>
  </w:style>
  <w:style w:type="character" w:customStyle="1" w:styleId="bold">
    <w:name w:val="bold"/>
    <w:basedOn w:val="DefaultParagraphFont"/>
    <w:rsid w:val="009F528F"/>
  </w:style>
  <w:style w:type="character" w:customStyle="1" w:styleId="hit">
    <w:name w:val="hit"/>
    <w:basedOn w:val="DefaultParagraphFont"/>
    <w:rsid w:val="009F528F"/>
  </w:style>
  <w:style w:type="character" w:customStyle="1" w:styleId="st">
    <w:name w:val="st"/>
    <w:basedOn w:val="DefaultParagraphFont"/>
    <w:rsid w:val="009F528F"/>
  </w:style>
  <w:style w:type="character" w:customStyle="1" w:styleId="head">
    <w:name w:val="head"/>
    <w:basedOn w:val="DefaultParagraphFont"/>
    <w:rsid w:val="009F528F"/>
  </w:style>
  <w:style w:type="paragraph" w:customStyle="1" w:styleId="Level1">
    <w:name w:val="Level 1"/>
    <w:uiPriority w:val="99"/>
    <w:rsid w:val="00E425A9"/>
    <w:pPr>
      <w:widowControl w:val="0"/>
      <w:autoSpaceDE w:val="0"/>
      <w:autoSpaceDN w:val="0"/>
      <w:adjustRightInd w:val="0"/>
      <w:ind w:left="720"/>
      <w:jc w:val="both"/>
    </w:pPr>
    <w:rPr>
      <w:rFonts w:ascii="CG Times" w:hAnsi="CG Times" w:cs="CG Times"/>
    </w:rPr>
  </w:style>
  <w:style w:type="character" w:customStyle="1" w:styleId="reference-text">
    <w:name w:val="reference-text"/>
    <w:basedOn w:val="DefaultParagraphFont"/>
    <w:rsid w:val="00E425A9"/>
  </w:style>
  <w:style w:type="character" w:customStyle="1" w:styleId="Heading6Char">
    <w:name w:val="Heading 6 Char"/>
    <w:aliases w:val="Square Bullet list Char"/>
    <w:link w:val="Heading6"/>
    <w:uiPriority w:val="9"/>
    <w:rsid w:val="0037646A"/>
    <w:rPr>
      <w:rFonts w:ascii="Arial" w:hAnsi="Arial"/>
      <w:b/>
      <w:sz w:val="18"/>
      <w:lang w:val="en-AU" w:eastAsia="en-AU"/>
    </w:rPr>
  </w:style>
  <w:style w:type="paragraph" w:customStyle="1" w:styleId="para10">
    <w:name w:val="para1"/>
    <w:basedOn w:val="Normal"/>
    <w:rsid w:val="0037646A"/>
    <w:pPr>
      <w:spacing w:before="100" w:beforeAutospacing="1" w:after="100" w:afterAutospacing="1"/>
      <w:jc w:val="both"/>
    </w:pPr>
    <w:rPr>
      <w:rFonts w:cs="Arial"/>
      <w:sz w:val="24"/>
      <w:lang w:val="en-CA" w:eastAsia="en-CA"/>
    </w:rPr>
  </w:style>
  <w:style w:type="paragraph" w:customStyle="1" w:styleId="page1">
    <w:name w:val="page1"/>
    <w:basedOn w:val="Normal"/>
    <w:rsid w:val="0037646A"/>
    <w:pPr>
      <w:spacing w:before="100" w:beforeAutospacing="1" w:after="100" w:afterAutospacing="1"/>
    </w:pPr>
    <w:rPr>
      <w:rFonts w:cs="Arial"/>
      <w:i/>
      <w:iCs/>
      <w:sz w:val="20"/>
      <w:szCs w:val="20"/>
      <w:lang w:val="en-CA" w:eastAsia="en-CA"/>
    </w:rPr>
  </w:style>
  <w:style w:type="paragraph" w:customStyle="1" w:styleId="metadata1">
    <w:name w:val="metadata1"/>
    <w:basedOn w:val="Normal"/>
    <w:rsid w:val="0037646A"/>
    <w:pPr>
      <w:spacing w:before="100" w:beforeAutospacing="1" w:after="100" w:afterAutospacing="1"/>
    </w:pPr>
    <w:rPr>
      <w:rFonts w:cs="Arial"/>
      <w:sz w:val="24"/>
      <w:lang w:val="en-CA" w:eastAsia="en-CA"/>
    </w:rPr>
  </w:style>
  <w:style w:type="character" w:customStyle="1" w:styleId="reference1">
    <w:name w:val="reference1"/>
    <w:rsid w:val="0037646A"/>
  </w:style>
  <w:style w:type="character" w:customStyle="1" w:styleId="name">
    <w:name w:val="name"/>
    <w:rsid w:val="0037646A"/>
  </w:style>
  <w:style w:type="paragraph" w:customStyle="1" w:styleId="citation11">
    <w:name w:val="citation11"/>
    <w:basedOn w:val="Normal"/>
    <w:rsid w:val="0037646A"/>
    <w:pPr>
      <w:spacing w:before="100" w:beforeAutospacing="1"/>
      <w:ind w:left="567"/>
      <w:jc w:val="both"/>
    </w:pPr>
    <w:rPr>
      <w:rFonts w:cs="Arial"/>
      <w:sz w:val="24"/>
      <w:lang w:val="en-CA" w:eastAsia="en-CA"/>
    </w:rPr>
  </w:style>
  <w:style w:type="paragraph" w:customStyle="1" w:styleId="citation21">
    <w:name w:val="citation21"/>
    <w:basedOn w:val="Normal"/>
    <w:rsid w:val="0037646A"/>
    <w:pPr>
      <w:spacing w:before="100" w:beforeAutospacing="1"/>
      <w:ind w:left="1134"/>
      <w:jc w:val="both"/>
    </w:pPr>
    <w:rPr>
      <w:rFonts w:cs="Arial"/>
      <w:sz w:val="24"/>
      <w:lang w:val="en-CA" w:eastAsia="en-CA"/>
    </w:rPr>
  </w:style>
  <w:style w:type="paragraph" w:customStyle="1" w:styleId="paragraph0">
    <w:name w:val="paragraph"/>
    <w:basedOn w:val="Normal"/>
    <w:rsid w:val="0037646A"/>
    <w:pPr>
      <w:spacing w:before="100" w:beforeAutospacing="1" w:after="100" w:afterAutospacing="1"/>
    </w:pPr>
    <w:rPr>
      <w:rFonts w:ascii="Times New Roman" w:hAnsi="Times New Roman"/>
      <w:sz w:val="24"/>
      <w:lang w:val="en-CA" w:eastAsia="en-CA"/>
    </w:rPr>
  </w:style>
  <w:style w:type="paragraph" w:customStyle="1" w:styleId="subsection2">
    <w:name w:val="subsection2"/>
    <w:basedOn w:val="Normal"/>
    <w:rsid w:val="0037646A"/>
    <w:pPr>
      <w:spacing w:before="100" w:beforeAutospacing="1" w:after="100" w:afterAutospacing="1"/>
    </w:pPr>
    <w:rPr>
      <w:rFonts w:ascii="Times New Roman" w:hAnsi="Times New Roman"/>
      <w:sz w:val="24"/>
      <w:lang w:val="en-CA" w:eastAsia="en-CA"/>
    </w:rPr>
  </w:style>
  <w:style w:type="character" w:customStyle="1" w:styleId="FootnoteCharacters">
    <w:name w:val="Footnote Characters"/>
    <w:rsid w:val="0037646A"/>
    <w:rPr>
      <w:vertAlign w:val="superscript"/>
    </w:rPr>
  </w:style>
  <w:style w:type="paragraph" w:customStyle="1" w:styleId="pskc-paragraph40134start1534indent41">
    <w:name w:val="ps_kc-paragraph40134start1534indent41"/>
    <w:basedOn w:val="Normal"/>
    <w:rsid w:val="0037646A"/>
    <w:pPr>
      <w:spacing w:before="100" w:beforeAutospacing="1" w:after="100" w:afterAutospacing="1"/>
    </w:pPr>
    <w:rPr>
      <w:rFonts w:ascii="Times New Roman" w:hAnsi="Times New Roman"/>
      <w:sz w:val="24"/>
      <w:lang w:val="en-CA" w:eastAsia="en-CA"/>
    </w:rPr>
  </w:style>
  <w:style w:type="paragraph" w:customStyle="1" w:styleId="ps1wrap">
    <w:name w:val="ps_1wrap"/>
    <w:basedOn w:val="Normal"/>
    <w:rsid w:val="0037646A"/>
    <w:pPr>
      <w:spacing w:before="100" w:beforeAutospacing="1" w:after="100" w:afterAutospacing="1"/>
    </w:pPr>
    <w:rPr>
      <w:rFonts w:ascii="Times New Roman" w:hAnsi="Times New Roman"/>
      <w:sz w:val="24"/>
      <w:lang w:val="en-CA" w:eastAsia="en-CA"/>
    </w:rPr>
  </w:style>
  <w:style w:type="character" w:customStyle="1" w:styleId="1">
    <w:name w:val="1"/>
    <w:rsid w:val="0037646A"/>
  </w:style>
  <w:style w:type="paragraph" w:customStyle="1" w:styleId="sub1">
    <w:name w:val="sub1"/>
    <w:basedOn w:val="Normal"/>
    <w:rsid w:val="0037646A"/>
    <w:pPr>
      <w:spacing w:before="120" w:line="360" w:lineRule="atLeast"/>
      <w:ind w:left="1440"/>
    </w:pPr>
    <w:rPr>
      <w:rFonts w:ascii="Verdana" w:hAnsi="Verdana"/>
      <w:sz w:val="24"/>
      <w:lang w:val="en-CA" w:eastAsia="en-CA"/>
    </w:rPr>
  </w:style>
  <w:style w:type="paragraph" w:customStyle="1" w:styleId="11">
    <w:name w:val="11"/>
    <w:basedOn w:val="Normal"/>
    <w:rsid w:val="0037646A"/>
    <w:pPr>
      <w:autoSpaceDE w:val="0"/>
      <w:autoSpaceDN w:val="0"/>
      <w:ind w:hanging="720"/>
    </w:pPr>
    <w:rPr>
      <w:rFonts w:ascii="Times New Roman" w:hAnsi="Times New Roman"/>
      <w:sz w:val="24"/>
      <w:lang w:val="en-CA" w:eastAsia="en-CA"/>
    </w:rPr>
  </w:style>
  <w:style w:type="character" w:customStyle="1" w:styleId="WW8Num3z0">
    <w:name w:val="WW8Num3z0"/>
    <w:rsid w:val="0037646A"/>
    <w:rPr>
      <w:rFonts w:ascii="Symbol" w:hAnsi="Symbol"/>
    </w:rPr>
  </w:style>
  <w:style w:type="character" w:customStyle="1" w:styleId="loose1">
    <w:name w:val="loose1"/>
    <w:rsid w:val="0037646A"/>
    <w:rPr>
      <w:vanish w:val="0"/>
      <w:webHidden w:val="0"/>
    </w:rPr>
  </w:style>
  <w:style w:type="character" w:customStyle="1" w:styleId="italic1">
    <w:name w:val="italic1"/>
    <w:rsid w:val="0037646A"/>
    <w:rPr>
      <w:i/>
      <w:iCs/>
    </w:rPr>
  </w:style>
  <w:style w:type="character" w:styleId="LineNumber">
    <w:name w:val="line number"/>
    <w:uiPriority w:val="99"/>
    <w:unhideWhenUsed/>
    <w:rsid w:val="0037646A"/>
  </w:style>
  <w:style w:type="character" w:customStyle="1" w:styleId="A6">
    <w:name w:val="A6"/>
    <w:uiPriority w:val="99"/>
    <w:rsid w:val="0037646A"/>
    <w:rPr>
      <w:rFonts w:cs="Bembo Std"/>
      <w:color w:val="000000"/>
      <w:sz w:val="22"/>
      <w:szCs w:val="22"/>
    </w:rPr>
  </w:style>
  <w:style w:type="character" w:customStyle="1" w:styleId="A9">
    <w:name w:val="A9"/>
    <w:uiPriority w:val="99"/>
    <w:rsid w:val="0037646A"/>
    <w:rPr>
      <w:rFonts w:cs="Bembo Std"/>
      <w:color w:val="000000"/>
      <w:sz w:val="12"/>
      <w:szCs w:val="12"/>
    </w:rPr>
  </w:style>
  <w:style w:type="paragraph" w:styleId="HTMLPreformatted">
    <w:name w:val="HTML Preformatted"/>
    <w:basedOn w:val="Normal"/>
    <w:link w:val="HTMLPreformattedChar"/>
    <w:uiPriority w:val="99"/>
    <w:unhideWhenUsed/>
    <w:rsid w:val="0037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rsid w:val="0037646A"/>
    <w:rPr>
      <w:rFonts w:ascii="Courier New" w:hAnsi="Courier New" w:cs="Courier New"/>
      <w:color w:val="000000"/>
      <w:sz w:val="20"/>
      <w:szCs w:val="20"/>
      <w:lang w:val="en-CA" w:eastAsia="en-CA"/>
    </w:rPr>
  </w:style>
  <w:style w:type="paragraph" w:customStyle="1" w:styleId="leftright">
    <w:name w:val="leftright"/>
    <w:basedOn w:val="Normal"/>
    <w:uiPriority w:val="99"/>
    <w:rsid w:val="0037646A"/>
    <w:pPr>
      <w:tabs>
        <w:tab w:val="left" w:pos="720"/>
        <w:tab w:val="left" w:pos="1440"/>
        <w:tab w:val="left" w:pos="2160"/>
        <w:tab w:val="left" w:pos="2880"/>
        <w:tab w:val="left" w:pos="3600"/>
        <w:tab w:val="left" w:pos="4321"/>
        <w:tab w:val="left" w:pos="5041"/>
        <w:tab w:val="left" w:pos="5761"/>
        <w:tab w:val="left" w:pos="6481"/>
        <w:tab w:val="left" w:pos="7201"/>
      </w:tabs>
      <w:spacing w:after="240" w:line="280" w:lineRule="exact"/>
      <w:ind w:left="720"/>
      <w:jc w:val="both"/>
    </w:pPr>
    <w:rPr>
      <w:rFonts w:ascii="Times New Roman" w:hAnsi="Times New Roman"/>
      <w:sz w:val="26"/>
      <w:szCs w:val="26"/>
      <w:lang w:eastAsia="en-US"/>
    </w:rPr>
  </w:style>
  <w:style w:type="paragraph" w:styleId="ListNumber">
    <w:name w:val="List Number"/>
    <w:basedOn w:val="Normal"/>
    <w:next w:val="Normal"/>
    <w:uiPriority w:val="99"/>
    <w:rsid w:val="0037646A"/>
    <w:pPr>
      <w:numPr>
        <w:numId w:val="23"/>
      </w:numPr>
      <w:spacing w:line="280" w:lineRule="exact"/>
      <w:ind w:hanging="709"/>
      <w:jc w:val="both"/>
    </w:pPr>
    <w:rPr>
      <w:rFonts w:ascii="Times New Roman" w:hAnsi="Times New Roman"/>
      <w:sz w:val="26"/>
      <w:szCs w:val="26"/>
      <w:lang w:val="en-GB" w:eastAsia="en-US"/>
    </w:rPr>
  </w:style>
  <w:style w:type="character" w:customStyle="1" w:styleId="sup">
    <w:name w:val="sup"/>
    <w:rsid w:val="0037646A"/>
  </w:style>
  <w:style w:type="character" w:customStyle="1" w:styleId="hps">
    <w:name w:val="hps"/>
    <w:rsid w:val="0037646A"/>
  </w:style>
  <w:style w:type="paragraph" w:customStyle="1" w:styleId="ParaNumbering">
    <w:name w:val="ParaNumbering"/>
    <w:basedOn w:val="Normal"/>
    <w:uiPriority w:val="99"/>
    <w:rsid w:val="0037646A"/>
    <w:pPr>
      <w:numPr>
        <w:numId w:val="37"/>
      </w:numPr>
      <w:spacing w:before="180" w:after="180" w:line="360" w:lineRule="auto"/>
      <w:jc w:val="both"/>
    </w:pPr>
    <w:rPr>
      <w:rFonts w:ascii="Times New Roman" w:hAnsi="Times New Roman"/>
      <w:sz w:val="24"/>
      <w:szCs w:val="20"/>
      <w:lang w:eastAsia="en-US"/>
    </w:rPr>
  </w:style>
  <w:style w:type="table" w:styleId="TableGrid">
    <w:name w:val="Table Grid"/>
    <w:basedOn w:val="TableNormal"/>
    <w:uiPriority w:val="59"/>
    <w:rsid w:val="0037646A"/>
    <w:rPr>
      <w:rFonts w:ascii="Calibri" w:eastAsia="Calibri" w:hAnsi="Calibri"/>
      <w:sz w:val="20"/>
      <w:szCs w:val="20"/>
      <w:lang w:val="en-AU"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37646A"/>
    <w:rPr>
      <w:rFonts w:ascii="Symbol" w:hAnsi="Symbol"/>
    </w:rPr>
  </w:style>
  <w:style w:type="character" w:customStyle="1" w:styleId="WW8Num2z1">
    <w:name w:val="WW8Num2z1"/>
    <w:rsid w:val="0037646A"/>
    <w:rPr>
      <w:rFonts w:ascii="Courier New" w:hAnsi="Courier New" w:cs="Courier New"/>
    </w:rPr>
  </w:style>
  <w:style w:type="character" w:customStyle="1" w:styleId="WW8Num2z2">
    <w:name w:val="WW8Num2z2"/>
    <w:rsid w:val="0037646A"/>
    <w:rPr>
      <w:rFonts w:ascii="Wingdings" w:hAnsi="Wingdings"/>
    </w:rPr>
  </w:style>
  <w:style w:type="character" w:customStyle="1" w:styleId="WW8Num3z1">
    <w:name w:val="WW8Num3z1"/>
    <w:rsid w:val="0037646A"/>
    <w:rPr>
      <w:rFonts w:ascii="Courier New" w:hAnsi="Courier New" w:cs="Courier New"/>
    </w:rPr>
  </w:style>
  <w:style w:type="character" w:customStyle="1" w:styleId="WW8Num3z2">
    <w:name w:val="WW8Num3z2"/>
    <w:rsid w:val="0037646A"/>
    <w:rPr>
      <w:rFonts w:ascii="Wingdings" w:hAnsi="Wingdings"/>
    </w:rPr>
  </w:style>
  <w:style w:type="character" w:customStyle="1" w:styleId="WW8Num4z0">
    <w:name w:val="WW8Num4z0"/>
    <w:rsid w:val="0037646A"/>
    <w:rPr>
      <w:rFonts w:ascii="Symbol" w:hAnsi="Symbol"/>
    </w:rPr>
  </w:style>
  <w:style w:type="character" w:customStyle="1" w:styleId="WW8Num4z1">
    <w:name w:val="WW8Num4z1"/>
    <w:rsid w:val="0037646A"/>
    <w:rPr>
      <w:rFonts w:ascii="Courier New" w:hAnsi="Courier New" w:cs="Courier New"/>
    </w:rPr>
  </w:style>
  <w:style w:type="character" w:customStyle="1" w:styleId="WW8Num4z2">
    <w:name w:val="WW8Num4z2"/>
    <w:rsid w:val="0037646A"/>
    <w:rPr>
      <w:rFonts w:ascii="Wingdings" w:hAnsi="Wingdings"/>
    </w:rPr>
  </w:style>
  <w:style w:type="character" w:customStyle="1" w:styleId="WW8Num5z0">
    <w:name w:val="WW8Num5z0"/>
    <w:rsid w:val="0037646A"/>
    <w:rPr>
      <w:rFonts w:ascii="Symbol" w:hAnsi="Symbol"/>
      <w:sz w:val="20"/>
    </w:rPr>
  </w:style>
  <w:style w:type="character" w:customStyle="1" w:styleId="WW8Num5z1">
    <w:name w:val="WW8Num5z1"/>
    <w:rsid w:val="0037646A"/>
    <w:rPr>
      <w:rFonts w:ascii="Courier New" w:hAnsi="Courier New"/>
      <w:sz w:val="20"/>
    </w:rPr>
  </w:style>
  <w:style w:type="character" w:customStyle="1" w:styleId="WW8Num5z2">
    <w:name w:val="WW8Num5z2"/>
    <w:rsid w:val="0037646A"/>
    <w:rPr>
      <w:rFonts w:ascii="Wingdings" w:hAnsi="Wingdings"/>
      <w:sz w:val="20"/>
    </w:rPr>
  </w:style>
  <w:style w:type="character" w:customStyle="1" w:styleId="WW8Num6z0">
    <w:name w:val="WW8Num6z0"/>
    <w:rsid w:val="0037646A"/>
    <w:rPr>
      <w:rFonts w:ascii="Symbol" w:hAnsi="Symbol"/>
      <w:sz w:val="20"/>
    </w:rPr>
  </w:style>
  <w:style w:type="character" w:customStyle="1" w:styleId="WW8Num6z1">
    <w:name w:val="WW8Num6z1"/>
    <w:rsid w:val="0037646A"/>
    <w:rPr>
      <w:rFonts w:ascii="Courier New" w:hAnsi="Courier New"/>
      <w:sz w:val="20"/>
    </w:rPr>
  </w:style>
  <w:style w:type="character" w:customStyle="1" w:styleId="WW8Num6z2">
    <w:name w:val="WW8Num6z2"/>
    <w:rsid w:val="0037646A"/>
    <w:rPr>
      <w:rFonts w:ascii="Wingdings" w:hAnsi="Wingdings"/>
      <w:sz w:val="20"/>
    </w:rPr>
  </w:style>
  <w:style w:type="character" w:customStyle="1" w:styleId="WW-DefaultParagraphFont">
    <w:name w:val="WW-Default Paragraph Font"/>
    <w:rsid w:val="0037646A"/>
  </w:style>
  <w:style w:type="character" w:customStyle="1" w:styleId="WW-DefaultParagraphFont1">
    <w:name w:val="WW-Default Paragraph Font1"/>
    <w:rsid w:val="0037646A"/>
  </w:style>
  <w:style w:type="character" w:customStyle="1" w:styleId="WW-DefaultParagraphFont11">
    <w:name w:val="WW-Default Paragraph Font11"/>
    <w:rsid w:val="0037646A"/>
  </w:style>
  <w:style w:type="character" w:customStyle="1" w:styleId="Absatz-Standardschriftart">
    <w:name w:val="Absatz-Standardschriftart"/>
    <w:rsid w:val="0037646A"/>
  </w:style>
  <w:style w:type="character" w:customStyle="1" w:styleId="WW-Absatz-Standardschriftart">
    <w:name w:val="WW-Absatz-Standardschriftart"/>
    <w:rsid w:val="0037646A"/>
  </w:style>
  <w:style w:type="character" w:customStyle="1" w:styleId="WW-Absatz-Standardschriftart1">
    <w:name w:val="WW-Absatz-Standardschriftart1"/>
    <w:rsid w:val="0037646A"/>
  </w:style>
  <w:style w:type="character" w:customStyle="1" w:styleId="WW-Absatz-Standardschriftart11">
    <w:name w:val="WW-Absatz-Standardschriftart11"/>
    <w:rsid w:val="0037646A"/>
  </w:style>
  <w:style w:type="character" w:customStyle="1" w:styleId="WW-Absatz-Standardschriftart111">
    <w:name w:val="WW-Absatz-Standardschriftart111"/>
    <w:rsid w:val="0037646A"/>
  </w:style>
  <w:style w:type="character" w:customStyle="1" w:styleId="WW-Absatz-Standardschriftart1111">
    <w:name w:val="WW-Absatz-Standardschriftart1111"/>
    <w:rsid w:val="0037646A"/>
  </w:style>
  <w:style w:type="character" w:customStyle="1" w:styleId="WW-DefaultParagraphFont111">
    <w:name w:val="WW-Default Paragraph Font111"/>
    <w:rsid w:val="0037646A"/>
  </w:style>
  <w:style w:type="character" w:customStyle="1" w:styleId="WW-Absatz-Standardschriftart11111">
    <w:name w:val="WW-Absatz-Standardschriftart11111"/>
    <w:rsid w:val="0037646A"/>
  </w:style>
  <w:style w:type="character" w:customStyle="1" w:styleId="WW-Absatz-Standardschriftart111111">
    <w:name w:val="WW-Absatz-Standardschriftart111111"/>
    <w:rsid w:val="0037646A"/>
  </w:style>
  <w:style w:type="character" w:customStyle="1" w:styleId="WW-DefaultParagraphFont1111">
    <w:name w:val="WW-Default Paragraph Font1111"/>
    <w:rsid w:val="0037646A"/>
  </w:style>
  <w:style w:type="character" w:customStyle="1" w:styleId="WW-DefaultParagraphFont11111">
    <w:name w:val="WW-Default Paragraph Font11111"/>
    <w:rsid w:val="0037646A"/>
  </w:style>
  <w:style w:type="character" w:customStyle="1" w:styleId="WW-DefaultParagraphFont111111">
    <w:name w:val="WW-Default Paragraph Font111111"/>
    <w:rsid w:val="0037646A"/>
  </w:style>
  <w:style w:type="character" w:customStyle="1" w:styleId="Quotation0">
    <w:name w:val="Quotation"/>
    <w:rsid w:val="0037646A"/>
    <w:rPr>
      <w:i/>
      <w:iCs/>
    </w:rPr>
  </w:style>
  <w:style w:type="character" w:customStyle="1" w:styleId="EndnoteCharacters">
    <w:name w:val="Endnote Characters"/>
    <w:rsid w:val="0037646A"/>
    <w:rPr>
      <w:vertAlign w:val="superscript"/>
    </w:rPr>
  </w:style>
  <w:style w:type="character" w:customStyle="1" w:styleId="WW-EndnoteCharacters">
    <w:name w:val="WW-Endnote Characters"/>
    <w:rsid w:val="0037646A"/>
  </w:style>
  <w:style w:type="paragraph" w:customStyle="1" w:styleId="Heading">
    <w:name w:val="Heading"/>
    <w:basedOn w:val="Normal"/>
    <w:next w:val="BodyText"/>
    <w:rsid w:val="0037646A"/>
    <w:pPr>
      <w:keepNext/>
      <w:suppressAutoHyphens/>
      <w:spacing w:before="240" w:after="120"/>
    </w:pPr>
    <w:rPr>
      <w:rFonts w:eastAsia="Microsoft YaHei" w:cs="Mangal"/>
      <w:sz w:val="28"/>
      <w:szCs w:val="28"/>
      <w:lang w:val="en-US" w:eastAsia="ar-SA"/>
    </w:rPr>
  </w:style>
  <w:style w:type="paragraph" w:styleId="List">
    <w:name w:val="List"/>
    <w:basedOn w:val="BodyText"/>
    <w:rsid w:val="0037646A"/>
    <w:pPr>
      <w:suppressAutoHyphens/>
    </w:pPr>
    <w:rPr>
      <w:rFonts w:ascii="Times New Roman" w:hAnsi="Times New Roman" w:cs="Mangal"/>
      <w:sz w:val="24"/>
      <w:lang w:val="en-US" w:eastAsia="ar-SA"/>
    </w:rPr>
  </w:style>
  <w:style w:type="paragraph" w:styleId="Caption">
    <w:name w:val="caption"/>
    <w:basedOn w:val="Normal"/>
    <w:qFormat/>
    <w:rsid w:val="0037646A"/>
    <w:pPr>
      <w:suppressLineNumbers/>
      <w:suppressAutoHyphens/>
      <w:spacing w:before="120" w:after="120"/>
    </w:pPr>
    <w:rPr>
      <w:rFonts w:ascii="Times New Roman" w:hAnsi="Times New Roman" w:cs="Mangal"/>
      <w:i/>
      <w:iCs/>
      <w:sz w:val="24"/>
      <w:lang w:val="en-US" w:eastAsia="ar-SA"/>
    </w:rPr>
  </w:style>
  <w:style w:type="paragraph" w:customStyle="1" w:styleId="Index">
    <w:name w:val="Index"/>
    <w:basedOn w:val="Normal"/>
    <w:rsid w:val="0037646A"/>
    <w:pPr>
      <w:suppressLineNumbers/>
      <w:suppressAutoHyphens/>
    </w:pPr>
    <w:rPr>
      <w:rFonts w:ascii="Times New Roman" w:hAnsi="Times New Roman" w:cs="Mangal"/>
      <w:sz w:val="24"/>
      <w:lang w:val="en-US" w:eastAsia="ar-SA"/>
    </w:rPr>
  </w:style>
  <w:style w:type="paragraph" w:customStyle="1" w:styleId="Pa20">
    <w:name w:val="Pa20"/>
    <w:basedOn w:val="Normal"/>
    <w:next w:val="Normal"/>
    <w:rsid w:val="0037646A"/>
    <w:pPr>
      <w:suppressAutoHyphens/>
      <w:spacing w:line="161" w:lineRule="atLeast"/>
    </w:pPr>
    <w:rPr>
      <w:rFonts w:ascii="Times New Roman" w:eastAsia="SimSun" w:hAnsi="Times New Roman" w:cs="Mangal"/>
      <w:sz w:val="24"/>
      <w:lang w:val="en-US" w:eastAsia="ar-SA"/>
    </w:rPr>
  </w:style>
  <w:style w:type="paragraph" w:customStyle="1" w:styleId="Pa2">
    <w:name w:val="Pa2"/>
    <w:basedOn w:val="Normal"/>
    <w:next w:val="Normal"/>
    <w:rsid w:val="0037646A"/>
    <w:pPr>
      <w:suppressAutoHyphens/>
      <w:spacing w:line="221" w:lineRule="atLeast"/>
    </w:pPr>
    <w:rPr>
      <w:rFonts w:ascii="Times New Roman" w:eastAsia="SimSun" w:hAnsi="Times New Roman" w:cs="Mangal"/>
      <w:sz w:val="24"/>
      <w:lang w:val="en-US" w:eastAsia="ar-SA"/>
    </w:rPr>
  </w:style>
  <w:style w:type="paragraph" w:styleId="Revision">
    <w:name w:val="Revision"/>
    <w:hidden/>
    <w:uiPriority w:val="99"/>
    <w:rsid w:val="0037646A"/>
    <w:rPr>
      <w:rFonts w:ascii="Calibri" w:eastAsia="Calibri" w:hAnsi="Calibri"/>
      <w:sz w:val="22"/>
      <w:szCs w:val="22"/>
      <w:lang w:val="en-CA"/>
    </w:rPr>
  </w:style>
  <w:style w:type="character" w:customStyle="1" w:styleId="citation">
    <w:name w:val="citation"/>
    <w:basedOn w:val="DefaultParagraphFont"/>
    <w:rsid w:val="00D40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uiPriority="9" w:qFormat="1"/>
    <w:lsdException w:name="heading 3" w:qFormat="1"/>
    <w:lsdException w:name="heading 6" w:uiPriority="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endnote text" w:uiPriority="99"/>
    <w:lsdException w:name="List Number" w:uiPriority="99"/>
    <w:lsdException w:name="Strong" w:qFormat="1"/>
    <w:lsdException w:name="Emphasis" w:uiPriority="20" w:qFormat="1"/>
    <w:lsdException w:name="HTML Preformatted"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sdException w:name="Book Title" w:uiPriority="33" w:qFormat="1"/>
  </w:latentStyles>
  <w:style w:type="paragraph" w:default="1" w:styleId="Normal">
    <w:name w:val="Normal"/>
    <w:qFormat/>
    <w:rsid w:val="001643A3"/>
    <w:rPr>
      <w:rFonts w:ascii="Arial" w:hAnsi="Arial"/>
      <w:sz w:val="22"/>
      <w:lang w:val="en-AU" w:eastAsia="en-AU"/>
    </w:rPr>
  </w:style>
  <w:style w:type="paragraph" w:styleId="Heading1">
    <w:name w:val="heading 1"/>
    <w:aliases w:val="Main Heading"/>
    <w:basedOn w:val="Normal"/>
    <w:next w:val="Normal"/>
    <w:qFormat/>
    <w:rsid w:val="001643A3"/>
    <w:pPr>
      <w:keepNext/>
      <w:jc w:val="both"/>
      <w:outlineLvl w:val="0"/>
    </w:pPr>
    <w:rPr>
      <w:b/>
      <w:snapToGrid w:val="0"/>
      <w:lang w:val="en-US" w:eastAsia="en-US"/>
    </w:rPr>
  </w:style>
  <w:style w:type="paragraph" w:styleId="Heading2">
    <w:name w:val="heading 2"/>
    <w:aliases w:val="Sub-heading"/>
    <w:basedOn w:val="Normal"/>
    <w:next w:val="Normal"/>
    <w:link w:val="Heading2Char"/>
    <w:autoRedefine/>
    <w:uiPriority w:val="9"/>
    <w:qFormat/>
    <w:rsid w:val="001643A3"/>
    <w:pPr>
      <w:keepNext/>
      <w:jc w:val="both"/>
      <w:outlineLvl w:val="1"/>
    </w:pPr>
    <w:rPr>
      <w:b/>
      <w:i/>
      <w:sz w:val="24"/>
      <w:lang w:val="en-US"/>
    </w:rPr>
  </w:style>
  <w:style w:type="paragraph" w:styleId="Heading3">
    <w:name w:val="heading 3"/>
    <w:aliases w:val="1st sub-clause"/>
    <w:basedOn w:val="Normal"/>
    <w:next w:val="Normal"/>
    <w:link w:val="Heading3Char"/>
    <w:qFormat/>
    <w:rsid w:val="001643A3"/>
    <w:pPr>
      <w:keepNext/>
      <w:outlineLvl w:val="2"/>
    </w:pPr>
    <w:rPr>
      <w:i/>
    </w:rPr>
  </w:style>
  <w:style w:type="paragraph" w:styleId="Heading4">
    <w:name w:val="heading 4"/>
    <w:aliases w:val="h4,2nd sub-clause"/>
    <w:basedOn w:val="Normal"/>
    <w:next w:val="Normal"/>
    <w:link w:val="Heading4Char"/>
    <w:uiPriority w:val="9"/>
    <w:qFormat/>
    <w:rsid w:val="001643A3"/>
    <w:pPr>
      <w:keepNext/>
      <w:spacing w:before="240" w:after="120" w:line="360" w:lineRule="auto"/>
      <w:jc w:val="both"/>
      <w:outlineLvl w:val="3"/>
    </w:pPr>
    <w:rPr>
      <w:rFonts w:ascii="Helvetica" w:eastAsia="Times" w:hAnsi="Helvetica"/>
      <w:b/>
      <w:sz w:val="28"/>
    </w:rPr>
  </w:style>
  <w:style w:type="paragraph" w:styleId="Heading5">
    <w:name w:val="heading 5"/>
    <w:aliases w:val="3rd sub-clause"/>
    <w:basedOn w:val="Normal"/>
    <w:next w:val="Normal"/>
    <w:qFormat/>
    <w:rsid w:val="001643A3"/>
    <w:pPr>
      <w:spacing w:before="240" w:after="60"/>
      <w:outlineLvl w:val="4"/>
    </w:pPr>
    <w:rPr>
      <w:b/>
      <w:bCs/>
      <w:i/>
      <w:iCs/>
      <w:sz w:val="26"/>
      <w:szCs w:val="26"/>
    </w:rPr>
  </w:style>
  <w:style w:type="paragraph" w:styleId="Heading6">
    <w:name w:val="heading 6"/>
    <w:aliases w:val="Square Bullet list"/>
    <w:basedOn w:val="Normal"/>
    <w:next w:val="Normal"/>
    <w:link w:val="Heading6Char"/>
    <w:uiPriority w:val="9"/>
    <w:qFormat/>
    <w:rsid w:val="001643A3"/>
    <w:pPr>
      <w:keepNext/>
      <w:jc w:val="both"/>
      <w:outlineLvl w:val="5"/>
    </w:pPr>
    <w:rPr>
      <w:b/>
      <w:sz w:val="18"/>
    </w:rPr>
  </w:style>
  <w:style w:type="paragraph" w:styleId="Heading7">
    <w:name w:val="heading 7"/>
    <w:aliases w:val="Indented hyphen"/>
    <w:basedOn w:val="Normal"/>
    <w:next w:val="Normal"/>
    <w:qFormat/>
    <w:rsid w:val="001643A3"/>
    <w:pPr>
      <w:keepNext/>
      <w:jc w:val="both"/>
      <w:outlineLvl w:val="6"/>
    </w:pPr>
    <w:rPr>
      <w:b/>
    </w:rPr>
  </w:style>
  <w:style w:type="paragraph" w:styleId="Heading8">
    <w:name w:val="heading 8"/>
    <w:basedOn w:val="Normal"/>
    <w:qFormat/>
    <w:rsid w:val="001643A3"/>
    <w:pPr>
      <w:keepNext/>
      <w:jc w:val="center"/>
      <w:outlineLvl w:val="7"/>
    </w:pPr>
    <w:rPr>
      <w:b/>
      <w:i/>
      <w:sz w:val="32"/>
    </w:rPr>
  </w:style>
  <w:style w:type="paragraph" w:styleId="Heading9">
    <w:name w:val="heading 9"/>
    <w:basedOn w:val="Normal"/>
    <w:next w:val="Normal"/>
    <w:qFormat/>
    <w:rsid w:val="001643A3"/>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BodyText"/>
    <w:rsid w:val="001643A3"/>
    <w:pPr>
      <w:spacing w:after="0"/>
      <w:ind w:left="425" w:right="425"/>
      <w:jc w:val="both"/>
    </w:pPr>
    <w:rPr>
      <w:snapToGrid w:val="0"/>
      <w:sz w:val="18"/>
      <w:lang w:val="en-US"/>
    </w:rPr>
  </w:style>
  <w:style w:type="paragraph" w:styleId="BodyText">
    <w:name w:val="Body Text"/>
    <w:basedOn w:val="Normal"/>
    <w:link w:val="BodyTextChar"/>
    <w:rsid w:val="001643A3"/>
    <w:pPr>
      <w:spacing w:after="120"/>
    </w:pPr>
  </w:style>
  <w:style w:type="paragraph" w:styleId="Header">
    <w:name w:val="header"/>
    <w:basedOn w:val="Normal"/>
    <w:link w:val="HeaderChar"/>
    <w:uiPriority w:val="99"/>
    <w:rsid w:val="001643A3"/>
    <w:pPr>
      <w:tabs>
        <w:tab w:val="center" w:pos="4320"/>
        <w:tab w:val="right" w:pos="8640"/>
      </w:tabs>
    </w:pPr>
  </w:style>
  <w:style w:type="paragraph" w:styleId="Footer">
    <w:name w:val="footer"/>
    <w:basedOn w:val="Normal"/>
    <w:link w:val="FooterChar"/>
    <w:uiPriority w:val="99"/>
    <w:rsid w:val="001643A3"/>
    <w:pPr>
      <w:tabs>
        <w:tab w:val="center" w:pos="4320"/>
        <w:tab w:val="right" w:pos="8640"/>
      </w:tabs>
    </w:pPr>
  </w:style>
  <w:style w:type="character" w:styleId="PageNumber">
    <w:name w:val="page number"/>
    <w:basedOn w:val="DefaultParagraphFont"/>
    <w:semiHidden/>
    <w:rsid w:val="001643A3"/>
  </w:style>
  <w:style w:type="paragraph" w:customStyle="1" w:styleId="Paragraph">
    <w:name w:val="Paragraph"/>
    <w:basedOn w:val="Normal"/>
    <w:rsid w:val="001643A3"/>
    <w:pPr>
      <w:spacing w:after="120" w:line="360" w:lineRule="auto"/>
      <w:ind w:firstLine="720"/>
      <w:jc w:val="both"/>
    </w:pPr>
    <w:rPr>
      <w:rFonts w:ascii="Times" w:eastAsia="Times" w:hAnsi="Times"/>
      <w:sz w:val="28"/>
    </w:rPr>
  </w:style>
  <w:style w:type="character" w:styleId="Hyperlink">
    <w:name w:val="Hyperlink"/>
    <w:basedOn w:val="DefaultParagraphFont"/>
    <w:rsid w:val="001643A3"/>
    <w:rPr>
      <w:color w:val="0000FF"/>
      <w:u w:val="single"/>
    </w:rPr>
  </w:style>
  <w:style w:type="paragraph" w:styleId="FootnoteText">
    <w:name w:val="footnote text"/>
    <w:aliases w:val="(NECG) Footnote Text,Footnote Text Char"/>
    <w:basedOn w:val="Normal"/>
    <w:rsid w:val="001643A3"/>
    <w:rPr>
      <w:sz w:val="20"/>
      <w:lang w:val="en-US" w:eastAsia="en-US"/>
    </w:rPr>
  </w:style>
  <w:style w:type="character" w:styleId="FootnoteReference">
    <w:name w:val="footnote reference"/>
    <w:aliases w:val="(NECG) Footnote Reference"/>
    <w:basedOn w:val="DefaultParagraphFont"/>
    <w:rsid w:val="001643A3"/>
    <w:rPr>
      <w:vertAlign w:val="superscript"/>
    </w:rPr>
  </w:style>
  <w:style w:type="paragraph" w:styleId="EndnoteText">
    <w:name w:val="endnote text"/>
    <w:basedOn w:val="Normal"/>
    <w:link w:val="EndnoteTextChar"/>
    <w:uiPriority w:val="99"/>
    <w:rsid w:val="001643A3"/>
    <w:rPr>
      <w:sz w:val="20"/>
    </w:rPr>
  </w:style>
  <w:style w:type="character" w:styleId="EndnoteReference">
    <w:name w:val="endnote reference"/>
    <w:basedOn w:val="DefaultParagraphFont"/>
    <w:uiPriority w:val="99"/>
    <w:rsid w:val="001643A3"/>
    <w:rPr>
      <w:vertAlign w:val="superscript"/>
    </w:rPr>
  </w:style>
  <w:style w:type="paragraph" w:styleId="BodyText3">
    <w:name w:val="Body Text 3"/>
    <w:basedOn w:val="Normal"/>
    <w:semiHidden/>
    <w:rsid w:val="001643A3"/>
    <w:pPr>
      <w:spacing w:after="120"/>
    </w:pPr>
    <w:rPr>
      <w:sz w:val="16"/>
      <w:szCs w:val="16"/>
    </w:rPr>
  </w:style>
  <w:style w:type="character" w:customStyle="1" w:styleId="CharSectno">
    <w:name w:val="CharSectno"/>
    <w:basedOn w:val="DefaultParagraphFont"/>
    <w:rsid w:val="001643A3"/>
  </w:style>
  <w:style w:type="paragraph" w:customStyle="1" w:styleId="Subsection">
    <w:name w:val="Subsection"/>
    <w:aliases w:val="ss,subsection"/>
    <w:basedOn w:val="Normal"/>
    <w:rsid w:val="001643A3"/>
    <w:pPr>
      <w:tabs>
        <w:tab w:val="right" w:pos="1021"/>
      </w:tabs>
      <w:autoSpaceDE w:val="0"/>
      <w:autoSpaceDN w:val="0"/>
      <w:spacing w:before="180" w:line="260" w:lineRule="atLeast"/>
      <w:ind w:left="1134" w:hanging="1134"/>
    </w:pPr>
    <w:rPr>
      <w:rFonts w:ascii="Times" w:hAnsi="Times"/>
      <w:szCs w:val="22"/>
      <w:lang w:eastAsia="en-US"/>
    </w:rPr>
  </w:style>
  <w:style w:type="paragraph" w:customStyle="1" w:styleId="indenta">
    <w:name w:val="indent(a)"/>
    <w:aliases w:val="a"/>
    <w:basedOn w:val="Normal"/>
    <w:rsid w:val="001643A3"/>
    <w:pPr>
      <w:tabs>
        <w:tab w:val="right" w:pos="1531"/>
      </w:tabs>
      <w:autoSpaceDE w:val="0"/>
      <w:autoSpaceDN w:val="0"/>
      <w:spacing w:before="40" w:line="260" w:lineRule="atLeast"/>
      <w:ind w:left="1644" w:hanging="1644"/>
    </w:pPr>
    <w:rPr>
      <w:rFonts w:ascii="Times" w:hAnsi="Times"/>
      <w:szCs w:val="22"/>
      <w:lang w:eastAsia="en-US"/>
    </w:rPr>
  </w:style>
  <w:style w:type="paragraph" w:customStyle="1" w:styleId="quotation">
    <w:name w:val="quotation"/>
    <w:basedOn w:val="Normal"/>
    <w:rsid w:val="001643A3"/>
    <w:pPr>
      <w:spacing w:before="240"/>
      <w:ind w:left="851" w:right="567"/>
      <w:jc w:val="both"/>
    </w:pPr>
    <w:rPr>
      <w:rFonts w:ascii="Helvetica" w:eastAsia="Times" w:hAnsi="Helvetica"/>
      <w:lang w:eastAsia="en-US"/>
    </w:rPr>
  </w:style>
  <w:style w:type="paragraph" w:customStyle="1" w:styleId="NumbParas">
    <w:name w:val="Numb Paras"/>
    <w:basedOn w:val="Normal"/>
    <w:rsid w:val="001643A3"/>
    <w:pPr>
      <w:numPr>
        <w:numId w:val="1"/>
      </w:numPr>
      <w:overflowPunct w:val="0"/>
      <w:autoSpaceDE w:val="0"/>
      <w:autoSpaceDN w:val="0"/>
      <w:adjustRightInd w:val="0"/>
      <w:spacing w:before="120" w:after="120" w:line="360" w:lineRule="atLeast"/>
      <w:jc w:val="both"/>
      <w:textAlignment w:val="baseline"/>
    </w:pPr>
    <w:rPr>
      <w:lang w:eastAsia="en-US"/>
    </w:rPr>
  </w:style>
  <w:style w:type="character" w:customStyle="1" w:styleId="casecite">
    <w:name w:val="casecite"/>
    <w:basedOn w:val="DefaultParagraphFont"/>
    <w:rsid w:val="001643A3"/>
  </w:style>
  <w:style w:type="paragraph" w:styleId="BalloonText">
    <w:name w:val="Balloon Text"/>
    <w:basedOn w:val="Normal"/>
    <w:link w:val="BalloonTextChar"/>
    <w:uiPriority w:val="99"/>
    <w:rsid w:val="001643A3"/>
    <w:rPr>
      <w:rFonts w:ascii="Tahoma" w:hAnsi="Tahoma" w:cs="Tahoma"/>
      <w:sz w:val="16"/>
      <w:szCs w:val="16"/>
    </w:rPr>
  </w:style>
  <w:style w:type="character" w:customStyle="1" w:styleId="Heading1Char">
    <w:name w:val="Heading 1 Char"/>
    <w:basedOn w:val="DefaultParagraphFont"/>
    <w:rsid w:val="001643A3"/>
    <w:rPr>
      <w:rFonts w:ascii="Arial" w:hAnsi="Arial"/>
      <w:b/>
      <w:noProof w:val="0"/>
      <w:snapToGrid w:val="0"/>
      <w:sz w:val="22"/>
      <w:lang w:val="en-US" w:eastAsia="en-US" w:bidi="ar-SA"/>
    </w:rPr>
  </w:style>
  <w:style w:type="paragraph" w:styleId="BodyText2">
    <w:name w:val="Body Text 2"/>
    <w:basedOn w:val="Normal"/>
    <w:semiHidden/>
    <w:rsid w:val="001643A3"/>
    <w:pPr>
      <w:jc w:val="both"/>
    </w:pPr>
  </w:style>
  <w:style w:type="paragraph" w:styleId="BodyTextIndent">
    <w:name w:val="Body Text Indent"/>
    <w:basedOn w:val="Normal"/>
    <w:link w:val="BodyTextIndentChar"/>
    <w:semiHidden/>
    <w:rsid w:val="001643A3"/>
    <w:pPr>
      <w:ind w:left="720"/>
    </w:pPr>
    <w:rPr>
      <w:rFonts w:ascii="Times New Roman" w:hAnsi="Times New Roman"/>
      <w:i/>
      <w:sz w:val="24"/>
    </w:rPr>
  </w:style>
  <w:style w:type="paragraph" w:customStyle="1" w:styleId="quoate">
    <w:name w:val="quoate"/>
    <w:basedOn w:val="Header"/>
    <w:rsid w:val="001643A3"/>
    <w:pPr>
      <w:jc w:val="both"/>
    </w:pPr>
  </w:style>
  <w:style w:type="paragraph" w:customStyle="1" w:styleId="Number1">
    <w:name w:val="Number 1"/>
    <w:basedOn w:val="TxtParagraph"/>
    <w:rsid w:val="001643A3"/>
    <w:pPr>
      <w:numPr>
        <w:numId w:val="3"/>
      </w:numPr>
    </w:pPr>
  </w:style>
  <w:style w:type="paragraph" w:customStyle="1" w:styleId="TxtParagraph">
    <w:name w:val="Txt  Paragraph"/>
    <w:basedOn w:val="NormalBase"/>
    <w:rsid w:val="001643A3"/>
    <w:rPr>
      <w:color w:val="000000"/>
    </w:rPr>
  </w:style>
  <w:style w:type="paragraph" w:customStyle="1" w:styleId="NormalBase">
    <w:name w:val="Normal Base"/>
    <w:rsid w:val="001643A3"/>
    <w:pPr>
      <w:tabs>
        <w:tab w:val="left" w:pos="567"/>
      </w:tabs>
      <w:spacing w:before="120" w:after="120" w:line="300" w:lineRule="atLeast"/>
      <w:jc w:val="both"/>
    </w:pPr>
    <w:rPr>
      <w:lang w:val="en-AU" w:eastAsia="en-AU"/>
    </w:rPr>
  </w:style>
  <w:style w:type="paragraph" w:customStyle="1" w:styleId="Numbera">
    <w:name w:val="Number(a)"/>
    <w:basedOn w:val="TxtIndent2"/>
    <w:rsid w:val="001643A3"/>
    <w:pPr>
      <w:numPr>
        <w:ilvl w:val="1"/>
        <w:numId w:val="3"/>
      </w:numPr>
    </w:pPr>
  </w:style>
  <w:style w:type="paragraph" w:customStyle="1" w:styleId="TxtIndent2">
    <w:name w:val="Txt Indent 2"/>
    <w:basedOn w:val="TxtParagraph"/>
    <w:rsid w:val="001643A3"/>
    <w:pPr>
      <w:tabs>
        <w:tab w:val="clear" w:pos="567"/>
      </w:tabs>
      <w:spacing w:before="80" w:after="80" w:line="280" w:lineRule="atLeast"/>
      <w:ind w:left="1134" w:hanging="567"/>
    </w:pPr>
  </w:style>
  <w:style w:type="paragraph" w:customStyle="1" w:styleId="Numberi">
    <w:name w:val="Number(i)"/>
    <w:basedOn w:val="TxtIndent3"/>
    <w:rsid w:val="001643A3"/>
    <w:pPr>
      <w:tabs>
        <w:tab w:val="num" w:pos="1701"/>
      </w:tabs>
    </w:pPr>
  </w:style>
  <w:style w:type="paragraph" w:customStyle="1" w:styleId="TxtIndent3">
    <w:name w:val="Txt Indent 3"/>
    <w:basedOn w:val="TxtParagraph"/>
    <w:rsid w:val="001643A3"/>
    <w:pPr>
      <w:tabs>
        <w:tab w:val="clear" w:pos="567"/>
      </w:tabs>
      <w:spacing w:before="80" w:after="80" w:line="280" w:lineRule="atLeast"/>
      <w:ind w:left="1701" w:hanging="567"/>
    </w:pPr>
  </w:style>
  <w:style w:type="paragraph" w:styleId="ListBullet">
    <w:name w:val="List Bullet"/>
    <w:basedOn w:val="Normal"/>
    <w:autoRedefine/>
    <w:semiHidden/>
    <w:rsid w:val="001643A3"/>
    <w:pPr>
      <w:numPr>
        <w:numId w:val="2"/>
      </w:numPr>
      <w:tabs>
        <w:tab w:val="clear" w:pos="360"/>
      </w:tabs>
      <w:spacing w:after="220"/>
      <w:ind w:left="964" w:hanging="964"/>
    </w:pPr>
    <w:rPr>
      <w:rFonts w:ascii="Times New Roman" w:hAnsi="Times New Roman"/>
    </w:rPr>
  </w:style>
  <w:style w:type="character" w:customStyle="1" w:styleId="partiesnames">
    <w:name w:val="partiesnames"/>
    <w:basedOn w:val="DefaultParagraphFont"/>
    <w:rsid w:val="001643A3"/>
  </w:style>
  <w:style w:type="character" w:styleId="CommentReference">
    <w:name w:val="annotation reference"/>
    <w:basedOn w:val="DefaultParagraphFont"/>
    <w:uiPriority w:val="99"/>
    <w:semiHidden/>
    <w:rsid w:val="001643A3"/>
    <w:rPr>
      <w:sz w:val="16"/>
      <w:szCs w:val="16"/>
    </w:rPr>
  </w:style>
  <w:style w:type="paragraph" w:styleId="CommentText">
    <w:name w:val="annotation text"/>
    <w:basedOn w:val="Normal"/>
    <w:link w:val="CommentTextChar"/>
    <w:uiPriority w:val="99"/>
    <w:semiHidden/>
    <w:rsid w:val="001643A3"/>
    <w:rPr>
      <w:sz w:val="20"/>
    </w:rPr>
  </w:style>
  <w:style w:type="paragraph" w:styleId="CommentSubject">
    <w:name w:val="annotation subject"/>
    <w:basedOn w:val="CommentText"/>
    <w:next w:val="CommentText"/>
    <w:link w:val="CommentSubjectChar"/>
    <w:uiPriority w:val="99"/>
    <w:semiHidden/>
    <w:rsid w:val="001643A3"/>
    <w:rPr>
      <w:b/>
      <w:bCs/>
    </w:rPr>
  </w:style>
  <w:style w:type="character" w:styleId="FollowedHyperlink">
    <w:name w:val="FollowedHyperlink"/>
    <w:basedOn w:val="DefaultParagraphFont"/>
    <w:rsid w:val="001643A3"/>
    <w:rPr>
      <w:color w:val="800080"/>
      <w:u w:val="single"/>
    </w:rPr>
  </w:style>
  <w:style w:type="paragraph" w:styleId="TOC8">
    <w:name w:val="toc 8"/>
    <w:basedOn w:val="Normal"/>
    <w:next w:val="Normal"/>
    <w:autoRedefine/>
    <w:semiHidden/>
    <w:rsid w:val="001643A3"/>
    <w:pPr>
      <w:ind w:left="1680"/>
    </w:pPr>
    <w:rPr>
      <w:rFonts w:ascii="Times New Roman" w:hAnsi="Times New Roman"/>
      <w:sz w:val="20"/>
    </w:rPr>
  </w:style>
  <w:style w:type="paragraph" w:styleId="TOC6">
    <w:name w:val="toc 6"/>
    <w:basedOn w:val="Normal"/>
    <w:next w:val="Normal"/>
    <w:autoRedefine/>
    <w:semiHidden/>
    <w:rsid w:val="001643A3"/>
    <w:pPr>
      <w:numPr>
        <w:numId w:val="4"/>
      </w:numPr>
      <w:ind w:left="1200"/>
    </w:pPr>
    <w:rPr>
      <w:rFonts w:ascii="Times New Roman" w:hAnsi="Times New Roman"/>
      <w:sz w:val="20"/>
    </w:rPr>
  </w:style>
  <w:style w:type="paragraph" w:customStyle="1" w:styleId="Bullet">
    <w:name w:val="Bullet"/>
    <w:basedOn w:val="Normal"/>
    <w:rsid w:val="00EF2730"/>
    <w:pPr>
      <w:numPr>
        <w:numId w:val="6"/>
      </w:numPr>
      <w:spacing w:after="240"/>
      <w:ind w:left="425" w:hanging="425"/>
    </w:pPr>
    <w:rPr>
      <w:rFonts w:eastAsia="Times"/>
    </w:rPr>
  </w:style>
  <w:style w:type="paragraph" w:styleId="BodyTextIndent2">
    <w:name w:val="Body Text Indent 2"/>
    <w:basedOn w:val="Normal"/>
    <w:semiHidden/>
    <w:rsid w:val="00164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pPr>
    <w:rPr>
      <w:rFonts w:ascii="Times New Roman" w:hAnsi="Times New Roman"/>
      <w:sz w:val="24"/>
      <w:lang w:val="en-US"/>
    </w:rPr>
  </w:style>
  <w:style w:type="paragraph" w:customStyle="1" w:styleId="HR">
    <w:name w:val="HR"/>
    <w:aliases w:val="Regulation Heading"/>
    <w:basedOn w:val="Normal"/>
    <w:next w:val="Normal"/>
    <w:rsid w:val="001643A3"/>
    <w:pPr>
      <w:keepNext/>
      <w:spacing w:before="360"/>
      <w:ind w:left="964" w:hanging="964"/>
    </w:pPr>
    <w:rPr>
      <w:b/>
      <w:sz w:val="24"/>
    </w:rPr>
  </w:style>
  <w:style w:type="paragraph" w:customStyle="1" w:styleId="P1">
    <w:name w:val="P1"/>
    <w:aliases w:val="(a)"/>
    <w:basedOn w:val="Normal"/>
    <w:rsid w:val="001643A3"/>
    <w:pPr>
      <w:tabs>
        <w:tab w:val="right" w:pos="1191"/>
      </w:tabs>
      <w:spacing w:before="60" w:line="260" w:lineRule="exact"/>
      <w:ind w:left="1418" w:hanging="1418"/>
      <w:jc w:val="both"/>
    </w:pPr>
    <w:rPr>
      <w:rFonts w:ascii="Times New Roman" w:hAnsi="Times New Roman"/>
      <w:sz w:val="24"/>
    </w:rPr>
  </w:style>
  <w:style w:type="paragraph" w:customStyle="1" w:styleId="R1">
    <w:name w:val="R1"/>
    <w:aliases w:val="1. or 1.(1)"/>
    <w:basedOn w:val="Normal"/>
    <w:next w:val="Normal"/>
    <w:rsid w:val="001643A3"/>
    <w:pPr>
      <w:tabs>
        <w:tab w:val="right" w:pos="794"/>
      </w:tabs>
      <w:spacing w:before="120" w:line="260" w:lineRule="exact"/>
      <w:ind w:left="964" w:hanging="964"/>
      <w:jc w:val="both"/>
    </w:pPr>
    <w:rPr>
      <w:rFonts w:ascii="Times New Roman" w:hAnsi="Times New Roman"/>
      <w:sz w:val="24"/>
    </w:rPr>
  </w:style>
  <w:style w:type="paragraph" w:customStyle="1" w:styleId="R2">
    <w:name w:val="R2"/>
    <w:aliases w:val="(2)"/>
    <w:basedOn w:val="Normal"/>
    <w:rsid w:val="001643A3"/>
    <w:pPr>
      <w:tabs>
        <w:tab w:val="right" w:pos="794"/>
      </w:tabs>
      <w:spacing w:before="180" w:line="260" w:lineRule="exact"/>
      <w:ind w:left="964" w:hanging="964"/>
      <w:jc w:val="both"/>
    </w:pPr>
    <w:rPr>
      <w:rFonts w:ascii="Times New Roman" w:hAnsi="Times New Roman"/>
      <w:sz w:val="24"/>
    </w:rPr>
  </w:style>
  <w:style w:type="paragraph" w:customStyle="1" w:styleId="Rc">
    <w:name w:val="Rc"/>
    <w:aliases w:val="Rn continued"/>
    <w:basedOn w:val="Normal"/>
    <w:next w:val="R2"/>
    <w:rsid w:val="001643A3"/>
    <w:pPr>
      <w:spacing w:before="60" w:line="260" w:lineRule="exact"/>
      <w:ind w:left="964"/>
      <w:jc w:val="both"/>
    </w:pPr>
    <w:rPr>
      <w:rFonts w:ascii="Times New Roman" w:hAnsi="Times New Roman"/>
      <w:sz w:val="24"/>
    </w:rPr>
  </w:style>
  <w:style w:type="paragraph" w:customStyle="1" w:styleId="ZR2">
    <w:name w:val="ZR2"/>
    <w:basedOn w:val="R2"/>
    <w:rsid w:val="001643A3"/>
    <w:pPr>
      <w:keepNext/>
    </w:pPr>
  </w:style>
  <w:style w:type="paragraph" w:customStyle="1" w:styleId="NumberLevel1">
    <w:name w:val="Number Level 1"/>
    <w:basedOn w:val="Normal"/>
    <w:rsid w:val="001643A3"/>
    <w:pPr>
      <w:spacing w:before="140" w:after="140" w:line="280" w:lineRule="atLeast"/>
      <w:outlineLvl w:val="0"/>
    </w:pPr>
    <w:rPr>
      <w:rFonts w:ascii="Times New Roman" w:hAnsi="Times New Roman"/>
    </w:rPr>
  </w:style>
  <w:style w:type="paragraph" w:customStyle="1" w:styleId="NumberLevel2">
    <w:name w:val="Number Level 2"/>
    <w:basedOn w:val="Normal"/>
    <w:rsid w:val="001643A3"/>
    <w:pPr>
      <w:spacing w:before="140" w:after="140" w:line="280" w:lineRule="atLeast"/>
      <w:ind w:left="988" w:hanging="421"/>
      <w:outlineLvl w:val="1"/>
    </w:pPr>
    <w:rPr>
      <w:rFonts w:ascii="Times New Roman" w:hAnsi="Times New Roman"/>
    </w:rPr>
  </w:style>
  <w:style w:type="paragraph" w:customStyle="1" w:styleId="Recitals">
    <w:name w:val="Recitals"/>
    <w:basedOn w:val="Normal"/>
    <w:rsid w:val="001643A3"/>
    <w:pPr>
      <w:numPr>
        <w:numId w:val="5"/>
      </w:numPr>
      <w:spacing w:before="240" w:after="120"/>
      <w:jc w:val="both"/>
    </w:pPr>
    <w:rPr>
      <w:rFonts w:ascii="Times New Roman" w:hAnsi="Times New Roman"/>
      <w:sz w:val="24"/>
    </w:rPr>
  </w:style>
  <w:style w:type="character" w:customStyle="1" w:styleId="BodyText2Char">
    <w:name w:val="Body Text 2 Char"/>
    <w:basedOn w:val="DefaultParagraphFont"/>
    <w:rsid w:val="001643A3"/>
    <w:rPr>
      <w:rFonts w:eastAsia="Times"/>
      <w:noProof w:val="0"/>
      <w:sz w:val="24"/>
      <w:lang w:val="en-AU" w:eastAsia="en-AU" w:bidi="ar-SA"/>
    </w:rPr>
  </w:style>
  <w:style w:type="paragraph" w:styleId="ListParagraph">
    <w:name w:val="List Paragraph"/>
    <w:basedOn w:val="Normal"/>
    <w:uiPriority w:val="34"/>
    <w:qFormat/>
    <w:rsid w:val="00C427EA"/>
    <w:pPr>
      <w:ind w:left="720"/>
    </w:pPr>
    <w:rPr>
      <w:rFonts w:ascii="Times New Roman" w:hAnsi="Times New Roman"/>
      <w:sz w:val="24"/>
      <w:lang w:eastAsia="en-US"/>
    </w:rPr>
  </w:style>
  <w:style w:type="character" w:customStyle="1" w:styleId="HeaderChar">
    <w:name w:val="Header Char"/>
    <w:link w:val="Header"/>
    <w:uiPriority w:val="99"/>
    <w:rsid w:val="004C58C4"/>
    <w:rPr>
      <w:rFonts w:ascii="Arial" w:hAnsi="Arial"/>
      <w:sz w:val="22"/>
      <w:lang w:val="en-AU" w:eastAsia="en-AU"/>
    </w:rPr>
  </w:style>
  <w:style w:type="character" w:customStyle="1" w:styleId="FooterChar">
    <w:name w:val="Footer Char"/>
    <w:link w:val="Footer"/>
    <w:uiPriority w:val="99"/>
    <w:rsid w:val="004C58C4"/>
    <w:rPr>
      <w:rFonts w:ascii="Arial" w:hAnsi="Arial"/>
      <w:sz w:val="22"/>
      <w:lang w:val="en-AU" w:eastAsia="en-AU"/>
    </w:rPr>
  </w:style>
  <w:style w:type="paragraph" w:styleId="NormalWeb">
    <w:name w:val="Normal (Web)"/>
    <w:basedOn w:val="Normal"/>
    <w:unhideWhenUsed/>
    <w:rsid w:val="004C58C4"/>
    <w:pPr>
      <w:spacing w:before="100" w:beforeAutospacing="1" w:after="100" w:afterAutospacing="1"/>
    </w:pPr>
    <w:rPr>
      <w:rFonts w:ascii="Times New Roman" w:hAnsi="Times New Roman"/>
      <w:sz w:val="24"/>
    </w:rPr>
  </w:style>
  <w:style w:type="character" w:customStyle="1" w:styleId="BalloonTextChar">
    <w:name w:val="Balloon Text Char"/>
    <w:link w:val="BalloonText"/>
    <w:uiPriority w:val="99"/>
    <w:rsid w:val="004C58C4"/>
    <w:rPr>
      <w:rFonts w:ascii="Tahoma" w:hAnsi="Tahoma" w:cs="Tahoma"/>
      <w:sz w:val="16"/>
      <w:szCs w:val="16"/>
      <w:lang w:val="en-AU" w:eastAsia="en-AU"/>
    </w:rPr>
  </w:style>
  <w:style w:type="character" w:customStyle="1" w:styleId="Heading3Char">
    <w:name w:val="Heading 3 Char"/>
    <w:aliases w:val="1st sub-clause Char"/>
    <w:link w:val="Heading3"/>
    <w:rsid w:val="00FF7DC9"/>
    <w:rPr>
      <w:rFonts w:ascii="Arial" w:hAnsi="Arial"/>
      <w:i/>
      <w:sz w:val="22"/>
      <w:lang w:val="en-AU" w:eastAsia="en-AU"/>
    </w:rPr>
  </w:style>
  <w:style w:type="character" w:styleId="Emphasis">
    <w:name w:val="Emphasis"/>
    <w:uiPriority w:val="20"/>
    <w:qFormat/>
    <w:rsid w:val="00FF7DC9"/>
    <w:rPr>
      <w:i/>
      <w:iCs/>
    </w:rPr>
  </w:style>
  <w:style w:type="paragraph" w:customStyle="1" w:styleId="p4">
    <w:name w:val="p4"/>
    <w:basedOn w:val="Normal"/>
    <w:rsid w:val="00FF7DC9"/>
    <w:pPr>
      <w:spacing w:before="100" w:beforeAutospacing="1" w:after="100" w:afterAutospacing="1"/>
    </w:pPr>
    <w:rPr>
      <w:rFonts w:ascii="Times New Roman" w:hAnsi="Times New Roman"/>
      <w:sz w:val="24"/>
    </w:rPr>
  </w:style>
  <w:style w:type="character" w:customStyle="1" w:styleId="EndnoteTextChar">
    <w:name w:val="Endnote Text Char"/>
    <w:link w:val="EndnoteText"/>
    <w:uiPriority w:val="99"/>
    <w:rsid w:val="00FF7DC9"/>
    <w:rPr>
      <w:rFonts w:ascii="Arial" w:hAnsi="Arial"/>
      <w:lang w:val="en-AU" w:eastAsia="en-AU"/>
    </w:rPr>
  </w:style>
  <w:style w:type="character" w:styleId="Strong">
    <w:name w:val="Strong"/>
    <w:basedOn w:val="DefaultParagraphFont"/>
    <w:qFormat/>
    <w:rsid w:val="00973257"/>
    <w:rPr>
      <w:b/>
      <w:bCs/>
    </w:rPr>
  </w:style>
  <w:style w:type="paragraph" w:customStyle="1" w:styleId="Default">
    <w:name w:val="Default"/>
    <w:rsid w:val="00973257"/>
    <w:pPr>
      <w:autoSpaceDE w:val="0"/>
      <w:autoSpaceDN w:val="0"/>
      <w:adjustRightInd w:val="0"/>
    </w:pPr>
    <w:rPr>
      <w:rFonts w:ascii="Tahoma" w:eastAsiaTheme="minorHAnsi" w:hAnsi="Tahoma" w:cs="Tahoma"/>
      <w:color w:val="000000"/>
      <w:lang w:val="en-AU"/>
    </w:rPr>
  </w:style>
  <w:style w:type="character" w:customStyle="1" w:styleId="caps">
    <w:name w:val="caps"/>
    <w:basedOn w:val="DefaultParagraphFont"/>
    <w:rsid w:val="00973257"/>
  </w:style>
  <w:style w:type="character" w:customStyle="1" w:styleId="Heading2Char">
    <w:name w:val="Heading 2 Char"/>
    <w:aliases w:val="Sub-heading Char"/>
    <w:basedOn w:val="DefaultParagraphFont"/>
    <w:link w:val="Heading2"/>
    <w:uiPriority w:val="9"/>
    <w:rsid w:val="00973257"/>
    <w:rPr>
      <w:rFonts w:ascii="Arial" w:hAnsi="Arial"/>
      <w:b/>
      <w:i/>
      <w:lang w:eastAsia="en-AU"/>
    </w:rPr>
  </w:style>
  <w:style w:type="character" w:customStyle="1" w:styleId="Heading4Char">
    <w:name w:val="Heading 4 Char"/>
    <w:aliases w:val="h4 Char,2nd sub-clause Char"/>
    <w:basedOn w:val="DefaultParagraphFont"/>
    <w:link w:val="Heading4"/>
    <w:uiPriority w:val="9"/>
    <w:rsid w:val="00973257"/>
    <w:rPr>
      <w:rFonts w:ascii="Helvetica" w:eastAsia="Times" w:hAnsi="Helvetica"/>
      <w:b/>
      <w:sz w:val="28"/>
      <w:lang w:val="en-AU" w:eastAsia="en-AU"/>
    </w:rPr>
  </w:style>
  <w:style w:type="paragraph" w:customStyle="1" w:styleId="Para1">
    <w:name w:val="Para 1"/>
    <w:basedOn w:val="Normal"/>
    <w:uiPriority w:val="99"/>
    <w:rsid w:val="00973257"/>
    <w:pPr>
      <w:numPr>
        <w:numId w:val="7"/>
      </w:numPr>
      <w:spacing w:after="120" w:line="300" w:lineRule="atLeast"/>
    </w:pPr>
    <w:rPr>
      <w:rFonts w:ascii="Times New Roman" w:hAnsi="Times New Roman"/>
      <w:sz w:val="26"/>
      <w:szCs w:val="26"/>
      <w:lang w:eastAsia="en-US"/>
    </w:rPr>
  </w:style>
  <w:style w:type="character" w:customStyle="1" w:styleId="CommentTextChar">
    <w:name w:val="Comment Text Char"/>
    <w:basedOn w:val="DefaultParagraphFont"/>
    <w:link w:val="CommentText"/>
    <w:uiPriority w:val="99"/>
    <w:semiHidden/>
    <w:rsid w:val="00973257"/>
    <w:rPr>
      <w:rFonts w:ascii="Arial" w:hAnsi="Arial"/>
      <w:sz w:val="20"/>
      <w:lang w:val="en-AU" w:eastAsia="en-AU"/>
    </w:rPr>
  </w:style>
  <w:style w:type="character" w:customStyle="1" w:styleId="CommentSubjectChar">
    <w:name w:val="Comment Subject Char"/>
    <w:basedOn w:val="CommentTextChar"/>
    <w:link w:val="CommentSubject"/>
    <w:uiPriority w:val="99"/>
    <w:semiHidden/>
    <w:rsid w:val="00973257"/>
    <w:rPr>
      <w:rFonts w:ascii="Arial" w:hAnsi="Arial"/>
      <w:b/>
      <w:bCs/>
      <w:sz w:val="20"/>
      <w:lang w:val="en-AU" w:eastAsia="en-AU"/>
    </w:rPr>
  </w:style>
  <w:style w:type="paragraph" w:customStyle="1" w:styleId="judgmentpara">
    <w:name w:val="judgment_para"/>
    <w:basedOn w:val="Normal"/>
    <w:rsid w:val="00973257"/>
    <w:pPr>
      <w:spacing w:before="100" w:beforeAutospacing="1" w:after="100" w:afterAutospacing="1"/>
    </w:pPr>
    <w:rPr>
      <w:rFonts w:ascii="Times New Roman" w:hAnsi="Times New Roman"/>
      <w:sz w:val="24"/>
    </w:rPr>
  </w:style>
  <w:style w:type="character" w:customStyle="1" w:styleId="BodyTextChar">
    <w:name w:val="Body Text Char"/>
    <w:basedOn w:val="DefaultParagraphFont"/>
    <w:link w:val="BodyText"/>
    <w:rsid w:val="00973257"/>
    <w:rPr>
      <w:rFonts w:ascii="Arial" w:hAnsi="Arial"/>
      <w:sz w:val="22"/>
      <w:lang w:val="en-AU" w:eastAsia="en-AU"/>
    </w:rPr>
  </w:style>
  <w:style w:type="character" w:customStyle="1" w:styleId="BodyTextIndentChar">
    <w:name w:val="Body Text Indent Char"/>
    <w:basedOn w:val="DefaultParagraphFont"/>
    <w:link w:val="BodyTextIndent"/>
    <w:semiHidden/>
    <w:rsid w:val="00973257"/>
    <w:rPr>
      <w:i/>
      <w:lang w:val="en-AU" w:eastAsia="en-AU"/>
    </w:rPr>
  </w:style>
  <w:style w:type="paragraph" w:styleId="NoSpacing">
    <w:name w:val="No Spacing"/>
    <w:rsid w:val="00EF2730"/>
    <w:rPr>
      <w:rFonts w:ascii="Arial" w:hAnsi="Arial"/>
      <w:sz w:val="22"/>
      <w:lang w:val="en-AU" w:eastAsia="en-AU"/>
    </w:rPr>
  </w:style>
  <w:style w:type="paragraph" w:styleId="Quote">
    <w:name w:val="Quote"/>
    <w:basedOn w:val="Normal"/>
    <w:next w:val="Normal"/>
    <w:link w:val="QuoteChar"/>
    <w:rsid w:val="00474BD2"/>
    <w:rPr>
      <w:iCs/>
      <w:color w:val="000000" w:themeColor="text1"/>
      <w:sz w:val="18"/>
    </w:rPr>
  </w:style>
  <w:style w:type="character" w:customStyle="1" w:styleId="QuoteChar">
    <w:name w:val="Quote Char"/>
    <w:basedOn w:val="DefaultParagraphFont"/>
    <w:link w:val="Quote"/>
    <w:rsid w:val="00474BD2"/>
    <w:rPr>
      <w:rFonts w:ascii="Arial" w:hAnsi="Arial"/>
      <w:iCs/>
      <w:color w:val="000000" w:themeColor="text1"/>
      <w:sz w:val="18"/>
      <w:lang w:val="en-AU" w:eastAsia="en-AU"/>
    </w:rPr>
  </w:style>
  <w:style w:type="paragraph" w:customStyle="1" w:styleId="Number">
    <w:name w:val="Number"/>
    <w:basedOn w:val="Normal"/>
    <w:qFormat/>
    <w:rsid w:val="009F528F"/>
    <w:pPr>
      <w:numPr>
        <w:numId w:val="9"/>
      </w:numPr>
      <w:tabs>
        <w:tab w:val="left" w:pos="709"/>
      </w:tabs>
      <w:spacing w:before="360" w:line="360" w:lineRule="auto"/>
      <w:jc w:val="both"/>
    </w:pPr>
    <w:rPr>
      <w:rFonts w:ascii="Times New Roman" w:hAnsi="Times New Roman"/>
      <w:sz w:val="24"/>
      <w:szCs w:val="20"/>
      <w:lang w:val="en-GB" w:eastAsia="en-NZ"/>
    </w:rPr>
  </w:style>
  <w:style w:type="paragraph" w:customStyle="1" w:styleId="Subheading">
    <w:name w:val="Subheading"/>
    <w:basedOn w:val="Normal"/>
    <w:next w:val="Number"/>
    <w:link w:val="SubheadingChar"/>
    <w:qFormat/>
    <w:rsid w:val="009F528F"/>
    <w:pPr>
      <w:tabs>
        <w:tab w:val="left" w:pos="709"/>
        <w:tab w:val="left" w:pos="1418"/>
        <w:tab w:val="left" w:pos="2126"/>
        <w:tab w:val="left" w:pos="2835"/>
        <w:tab w:val="left" w:pos="3544"/>
        <w:tab w:val="left" w:pos="4253"/>
        <w:tab w:val="left" w:pos="4961"/>
      </w:tabs>
      <w:spacing w:before="480" w:after="240"/>
      <w:jc w:val="both"/>
    </w:pPr>
    <w:rPr>
      <w:rFonts w:ascii="Times New Roman" w:hAnsi="Times New Roman"/>
      <w:b/>
      <w:sz w:val="24"/>
      <w:szCs w:val="20"/>
      <w:lang w:val="en-GB" w:eastAsia="x-none"/>
    </w:rPr>
  </w:style>
  <w:style w:type="paragraph" w:customStyle="1" w:styleId="Quotations">
    <w:name w:val="Quotations"/>
    <w:basedOn w:val="Normal"/>
    <w:next w:val="Number"/>
    <w:qFormat/>
    <w:rsid w:val="009F528F"/>
    <w:pPr>
      <w:tabs>
        <w:tab w:val="left" w:pos="709"/>
        <w:tab w:val="left" w:pos="1418"/>
        <w:tab w:val="left" w:pos="2126"/>
        <w:tab w:val="left" w:pos="2835"/>
        <w:tab w:val="left" w:pos="3544"/>
        <w:tab w:val="left" w:pos="4253"/>
        <w:tab w:val="left" w:pos="4961"/>
      </w:tabs>
      <w:spacing w:before="240"/>
      <w:ind w:left="709" w:right="686"/>
      <w:jc w:val="both"/>
    </w:pPr>
    <w:rPr>
      <w:rFonts w:ascii="Times New Roman" w:hAnsi="Times New Roman"/>
      <w:szCs w:val="20"/>
      <w:lang w:val="en-GB" w:eastAsia="en-NZ"/>
    </w:rPr>
  </w:style>
  <w:style w:type="character" w:styleId="BookTitle">
    <w:name w:val="Book Title"/>
    <w:uiPriority w:val="33"/>
    <w:qFormat/>
    <w:rsid w:val="009F528F"/>
    <w:rPr>
      <w:b/>
      <w:bCs/>
      <w:smallCaps/>
      <w:spacing w:val="5"/>
    </w:rPr>
  </w:style>
  <w:style w:type="character" w:customStyle="1" w:styleId="SubheadingChar">
    <w:name w:val="Subheading Char"/>
    <w:link w:val="Subheading"/>
    <w:rsid w:val="009F528F"/>
    <w:rPr>
      <w:b/>
      <w:szCs w:val="20"/>
      <w:lang w:val="en-GB" w:eastAsia="x-none"/>
    </w:rPr>
  </w:style>
  <w:style w:type="character" w:customStyle="1" w:styleId="verdana">
    <w:name w:val="verdana"/>
    <w:basedOn w:val="DefaultParagraphFont"/>
    <w:rsid w:val="009F528F"/>
  </w:style>
  <w:style w:type="character" w:customStyle="1" w:styleId="bold">
    <w:name w:val="bold"/>
    <w:basedOn w:val="DefaultParagraphFont"/>
    <w:rsid w:val="009F528F"/>
  </w:style>
  <w:style w:type="character" w:customStyle="1" w:styleId="hit">
    <w:name w:val="hit"/>
    <w:basedOn w:val="DefaultParagraphFont"/>
    <w:rsid w:val="009F528F"/>
  </w:style>
  <w:style w:type="character" w:customStyle="1" w:styleId="st">
    <w:name w:val="st"/>
    <w:basedOn w:val="DefaultParagraphFont"/>
    <w:rsid w:val="009F528F"/>
  </w:style>
  <w:style w:type="character" w:customStyle="1" w:styleId="head">
    <w:name w:val="head"/>
    <w:basedOn w:val="DefaultParagraphFont"/>
    <w:rsid w:val="009F528F"/>
  </w:style>
  <w:style w:type="paragraph" w:customStyle="1" w:styleId="Level1">
    <w:name w:val="Level 1"/>
    <w:uiPriority w:val="99"/>
    <w:rsid w:val="00E425A9"/>
    <w:pPr>
      <w:widowControl w:val="0"/>
      <w:autoSpaceDE w:val="0"/>
      <w:autoSpaceDN w:val="0"/>
      <w:adjustRightInd w:val="0"/>
      <w:ind w:left="720"/>
      <w:jc w:val="both"/>
    </w:pPr>
    <w:rPr>
      <w:rFonts w:ascii="CG Times" w:hAnsi="CG Times" w:cs="CG Times"/>
    </w:rPr>
  </w:style>
  <w:style w:type="character" w:customStyle="1" w:styleId="reference-text">
    <w:name w:val="reference-text"/>
    <w:basedOn w:val="DefaultParagraphFont"/>
    <w:rsid w:val="00E425A9"/>
  </w:style>
  <w:style w:type="character" w:customStyle="1" w:styleId="Heading6Char">
    <w:name w:val="Heading 6 Char"/>
    <w:aliases w:val="Square Bullet list Char"/>
    <w:link w:val="Heading6"/>
    <w:uiPriority w:val="9"/>
    <w:rsid w:val="0037646A"/>
    <w:rPr>
      <w:rFonts w:ascii="Arial" w:hAnsi="Arial"/>
      <w:b/>
      <w:sz w:val="18"/>
      <w:lang w:val="en-AU" w:eastAsia="en-AU"/>
    </w:rPr>
  </w:style>
  <w:style w:type="paragraph" w:customStyle="1" w:styleId="para10">
    <w:name w:val="para1"/>
    <w:basedOn w:val="Normal"/>
    <w:rsid w:val="0037646A"/>
    <w:pPr>
      <w:spacing w:before="100" w:beforeAutospacing="1" w:after="100" w:afterAutospacing="1"/>
      <w:jc w:val="both"/>
    </w:pPr>
    <w:rPr>
      <w:rFonts w:cs="Arial"/>
      <w:sz w:val="24"/>
      <w:lang w:val="en-CA" w:eastAsia="en-CA"/>
    </w:rPr>
  </w:style>
  <w:style w:type="paragraph" w:customStyle="1" w:styleId="page1">
    <w:name w:val="page1"/>
    <w:basedOn w:val="Normal"/>
    <w:rsid w:val="0037646A"/>
    <w:pPr>
      <w:spacing w:before="100" w:beforeAutospacing="1" w:after="100" w:afterAutospacing="1"/>
    </w:pPr>
    <w:rPr>
      <w:rFonts w:cs="Arial"/>
      <w:i/>
      <w:iCs/>
      <w:sz w:val="20"/>
      <w:szCs w:val="20"/>
      <w:lang w:val="en-CA" w:eastAsia="en-CA"/>
    </w:rPr>
  </w:style>
  <w:style w:type="paragraph" w:customStyle="1" w:styleId="metadata1">
    <w:name w:val="metadata1"/>
    <w:basedOn w:val="Normal"/>
    <w:rsid w:val="0037646A"/>
    <w:pPr>
      <w:spacing w:before="100" w:beforeAutospacing="1" w:after="100" w:afterAutospacing="1"/>
    </w:pPr>
    <w:rPr>
      <w:rFonts w:cs="Arial"/>
      <w:sz w:val="24"/>
      <w:lang w:val="en-CA" w:eastAsia="en-CA"/>
    </w:rPr>
  </w:style>
  <w:style w:type="character" w:customStyle="1" w:styleId="reference1">
    <w:name w:val="reference1"/>
    <w:rsid w:val="0037646A"/>
  </w:style>
  <w:style w:type="character" w:customStyle="1" w:styleId="name">
    <w:name w:val="name"/>
    <w:rsid w:val="0037646A"/>
  </w:style>
  <w:style w:type="paragraph" w:customStyle="1" w:styleId="citation11">
    <w:name w:val="citation11"/>
    <w:basedOn w:val="Normal"/>
    <w:rsid w:val="0037646A"/>
    <w:pPr>
      <w:spacing w:before="100" w:beforeAutospacing="1"/>
      <w:ind w:left="567"/>
      <w:jc w:val="both"/>
    </w:pPr>
    <w:rPr>
      <w:rFonts w:cs="Arial"/>
      <w:sz w:val="24"/>
      <w:lang w:val="en-CA" w:eastAsia="en-CA"/>
    </w:rPr>
  </w:style>
  <w:style w:type="paragraph" w:customStyle="1" w:styleId="citation21">
    <w:name w:val="citation21"/>
    <w:basedOn w:val="Normal"/>
    <w:rsid w:val="0037646A"/>
    <w:pPr>
      <w:spacing w:before="100" w:beforeAutospacing="1"/>
      <w:ind w:left="1134"/>
      <w:jc w:val="both"/>
    </w:pPr>
    <w:rPr>
      <w:rFonts w:cs="Arial"/>
      <w:sz w:val="24"/>
      <w:lang w:val="en-CA" w:eastAsia="en-CA"/>
    </w:rPr>
  </w:style>
  <w:style w:type="paragraph" w:customStyle="1" w:styleId="paragraph0">
    <w:name w:val="paragraph"/>
    <w:basedOn w:val="Normal"/>
    <w:rsid w:val="0037646A"/>
    <w:pPr>
      <w:spacing w:before="100" w:beforeAutospacing="1" w:after="100" w:afterAutospacing="1"/>
    </w:pPr>
    <w:rPr>
      <w:rFonts w:ascii="Times New Roman" w:hAnsi="Times New Roman"/>
      <w:sz w:val="24"/>
      <w:lang w:val="en-CA" w:eastAsia="en-CA"/>
    </w:rPr>
  </w:style>
  <w:style w:type="paragraph" w:customStyle="1" w:styleId="subsection2">
    <w:name w:val="subsection2"/>
    <w:basedOn w:val="Normal"/>
    <w:rsid w:val="0037646A"/>
    <w:pPr>
      <w:spacing w:before="100" w:beforeAutospacing="1" w:after="100" w:afterAutospacing="1"/>
    </w:pPr>
    <w:rPr>
      <w:rFonts w:ascii="Times New Roman" w:hAnsi="Times New Roman"/>
      <w:sz w:val="24"/>
      <w:lang w:val="en-CA" w:eastAsia="en-CA"/>
    </w:rPr>
  </w:style>
  <w:style w:type="character" w:customStyle="1" w:styleId="FootnoteCharacters">
    <w:name w:val="Footnote Characters"/>
    <w:rsid w:val="0037646A"/>
    <w:rPr>
      <w:vertAlign w:val="superscript"/>
    </w:rPr>
  </w:style>
  <w:style w:type="paragraph" w:customStyle="1" w:styleId="pskc-paragraph40134start1534indent41">
    <w:name w:val="ps_kc-paragraph40134start1534indent41"/>
    <w:basedOn w:val="Normal"/>
    <w:rsid w:val="0037646A"/>
    <w:pPr>
      <w:spacing w:before="100" w:beforeAutospacing="1" w:after="100" w:afterAutospacing="1"/>
    </w:pPr>
    <w:rPr>
      <w:rFonts w:ascii="Times New Roman" w:hAnsi="Times New Roman"/>
      <w:sz w:val="24"/>
      <w:lang w:val="en-CA" w:eastAsia="en-CA"/>
    </w:rPr>
  </w:style>
  <w:style w:type="paragraph" w:customStyle="1" w:styleId="ps1wrap">
    <w:name w:val="ps_1wrap"/>
    <w:basedOn w:val="Normal"/>
    <w:rsid w:val="0037646A"/>
    <w:pPr>
      <w:spacing w:before="100" w:beforeAutospacing="1" w:after="100" w:afterAutospacing="1"/>
    </w:pPr>
    <w:rPr>
      <w:rFonts w:ascii="Times New Roman" w:hAnsi="Times New Roman"/>
      <w:sz w:val="24"/>
      <w:lang w:val="en-CA" w:eastAsia="en-CA"/>
    </w:rPr>
  </w:style>
  <w:style w:type="character" w:customStyle="1" w:styleId="1">
    <w:name w:val="1"/>
    <w:rsid w:val="0037646A"/>
  </w:style>
  <w:style w:type="paragraph" w:customStyle="1" w:styleId="sub1">
    <w:name w:val="sub1"/>
    <w:basedOn w:val="Normal"/>
    <w:rsid w:val="0037646A"/>
    <w:pPr>
      <w:spacing w:before="120" w:line="360" w:lineRule="atLeast"/>
      <w:ind w:left="1440"/>
    </w:pPr>
    <w:rPr>
      <w:rFonts w:ascii="Verdana" w:hAnsi="Verdana"/>
      <w:sz w:val="24"/>
      <w:lang w:val="en-CA" w:eastAsia="en-CA"/>
    </w:rPr>
  </w:style>
  <w:style w:type="paragraph" w:customStyle="1" w:styleId="11">
    <w:name w:val="11"/>
    <w:basedOn w:val="Normal"/>
    <w:rsid w:val="0037646A"/>
    <w:pPr>
      <w:autoSpaceDE w:val="0"/>
      <w:autoSpaceDN w:val="0"/>
      <w:ind w:hanging="720"/>
    </w:pPr>
    <w:rPr>
      <w:rFonts w:ascii="Times New Roman" w:hAnsi="Times New Roman"/>
      <w:sz w:val="24"/>
      <w:lang w:val="en-CA" w:eastAsia="en-CA"/>
    </w:rPr>
  </w:style>
  <w:style w:type="character" w:customStyle="1" w:styleId="WW8Num3z0">
    <w:name w:val="WW8Num3z0"/>
    <w:rsid w:val="0037646A"/>
    <w:rPr>
      <w:rFonts w:ascii="Symbol" w:hAnsi="Symbol"/>
    </w:rPr>
  </w:style>
  <w:style w:type="character" w:customStyle="1" w:styleId="loose1">
    <w:name w:val="loose1"/>
    <w:rsid w:val="0037646A"/>
    <w:rPr>
      <w:vanish w:val="0"/>
      <w:webHidden w:val="0"/>
    </w:rPr>
  </w:style>
  <w:style w:type="character" w:customStyle="1" w:styleId="italic1">
    <w:name w:val="italic1"/>
    <w:rsid w:val="0037646A"/>
    <w:rPr>
      <w:i/>
      <w:iCs/>
    </w:rPr>
  </w:style>
  <w:style w:type="character" w:styleId="LineNumber">
    <w:name w:val="line number"/>
    <w:uiPriority w:val="99"/>
    <w:unhideWhenUsed/>
    <w:rsid w:val="0037646A"/>
  </w:style>
  <w:style w:type="character" w:customStyle="1" w:styleId="A6">
    <w:name w:val="A6"/>
    <w:uiPriority w:val="99"/>
    <w:rsid w:val="0037646A"/>
    <w:rPr>
      <w:rFonts w:cs="Bembo Std"/>
      <w:color w:val="000000"/>
      <w:sz w:val="22"/>
      <w:szCs w:val="22"/>
    </w:rPr>
  </w:style>
  <w:style w:type="character" w:customStyle="1" w:styleId="A9">
    <w:name w:val="A9"/>
    <w:uiPriority w:val="99"/>
    <w:rsid w:val="0037646A"/>
    <w:rPr>
      <w:rFonts w:cs="Bembo Std"/>
      <w:color w:val="000000"/>
      <w:sz w:val="12"/>
      <w:szCs w:val="12"/>
    </w:rPr>
  </w:style>
  <w:style w:type="paragraph" w:styleId="HTMLPreformatted">
    <w:name w:val="HTML Preformatted"/>
    <w:basedOn w:val="Normal"/>
    <w:link w:val="HTMLPreformattedChar"/>
    <w:uiPriority w:val="99"/>
    <w:unhideWhenUsed/>
    <w:rsid w:val="0037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rsid w:val="0037646A"/>
    <w:rPr>
      <w:rFonts w:ascii="Courier New" w:hAnsi="Courier New" w:cs="Courier New"/>
      <w:color w:val="000000"/>
      <w:sz w:val="20"/>
      <w:szCs w:val="20"/>
      <w:lang w:val="en-CA" w:eastAsia="en-CA"/>
    </w:rPr>
  </w:style>
  <w:style w:type="paragraph" w:customStyle="1" w:styleId="leftright">
    <w:name w:val="leftright"/>
    <w:basedOn w:val="Normal"/>
    <w:uiPriority w:val="99"/>
    <w:rsid w:val="0037646A"/>
    <w:pPr>
      <w:tabs>
        <w:tab w:val="left" w:pos="720"/>
        <w:tab w:val="left" w:pos="1440"/>
        <w:tab w:val="left" w:pos="2160"/>
        <w:tab w:val="left" w:pos="2880"/>
        <w:tab w:val="left" w:pos="3600"/>
        <w:tab w:val="left" w:pos="4321"/>
        <w:tab w:val="left" w:pos="5041"/>
        <w:tab w:val="left" w:pos="5761"/>
        <w:tab w:val="left" w:pos="6481"/>
        <w:tab w:val="left" w:pos="7201"/>
      </w:tabs>
      <w:spacing w:after="240" w:line="280" w:lineRule="exact"/>
      <w:ind w:left="720"/>
      <w:jc w:val="both"/>
    </w:pPr>
    <w:rPr>
      <w:rFonts w:ascii="Times New Roman" w:hAnsi="Times New Roman"/>
      <w:sz w:val="26"/>
      <w:szCs w:val="26"/>
      <w:lang w:eastAsia="en-US"/>
    </w:rPr>
  </w:style>
  <w:style w:type="paragraph" w:styleId="ListNumber">
    <w:name w:val="List Number"/>
    <w:basedOn w:val="Normal"/>
    <w:next w:val="Normal"/>
    <w:uiPriority w:val="99"/>
    <w:rsid w:val="0037646A"/>
    <w:pPr>
      <w:numPr>
        <w:numId w:val="23"/>
      </w:numPr>
      <w:spacing w:line="280" w:lineRule="exact"/>
      <w:ind w:hanging="709"/>
      <w:jc w:val="both"/>
    </w:pPr>
    <w:rPr>
      <w:rFonts w:ascii="Times New Roman" w:hAnsi="Times New Roman"/>
      <w:sz w:val="26"/>
      <w:szCs w:val="26"/>
      <w:lang w:val="en-GB" w:eastAsia="en-US"/>
    </w:rPr>
  </w:style>
  <w:style w:type="character" w:customStyle="1" w:styleId="sup">
    <w:name w:val="sup"/>
    <w:rsid w:val="0037646A"/>
  </w:style>
  <w:style w:type="character" w:customStyle="1" w:styleId="hps">
    <w:name w:val="hps"/>
    <w:rsid w:val="0037646A"/>
  </w:style>
  <w:style w:type="paragraph" w:customStyle="1" w:styleId="ParaNumbering">
    <w:name w:val="ParaNumbering"/>
    <w:basedOn w:val="Normal"/>
    <w:uiPriority w:val="99"/>
    <w:rsid w:val="0037646A"/>
    <w:pPr>
      <w:numPr>
        <w:numId w:val="37"/>
      </w:numPr>
      <w:spacing w:before="180" w:after="180" w:line="360" w:lineRule="auto"/>
      <w:jc w:val="both"/>
    </w:pPr>
    <w:rPr>
      <w:rFonts w:ascii="Times New Roman" w:hAnsi="Times New Roman"/>
      <w:sz w:val="24"/>
      <w:szCs w:val="20"/>
      <w:lang w:eastAsia="en-US"/>
    </w:rPr>
  </w:style>
  <w:style w:type="table" w:styleId="TableGrid">
    <w:name w:val="Table Grid"/>
    <w:basedOn w:val="TableNormal"/>
    <w:uiPriority w:val="59"/>
    <w:rsid w:val="0037646A"/>
    <w:rPr>
      <w:rFonts w:ascii="Calibri" w:eastAsia="Calibri" w:hAnsi="Calibri"/>
      <w:sz w:val="20"/>
      <w:szCs w:val="20"/>
      <w:lang w:val="en-AU"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37646A"/>
    <w:rPr>
      <w:rFonts w:ascii="Symbol" w:hAnsi="Symbol"/>
    </w:rPr>
  </w:style>
  <w:style w:type="character" w:customStyle="1" w:styleId="WW8Num2z1">
    <w:name w:val="WW8Num2z1"/>
    <w:rsid w:val="0037646A"/>
    <w:rPr>
      <w:rFonts w:ascii="Courier New" w:hAnsi="Courier New" w:cs="Courier New"/>
    </w:rPr>
  </w:style>
  <w:style w:type="character" w:customStyle="1" w:styleId="WW8Num2z2">
    <w:name w:val="WW8Num2z2"/>
    <w:rsid w:val="0037646A"/>
    <w:rPr>
      <w:rFonts w:ascii="Wingdings" w:hAnsi="Wingdings"/>
    </w:rPr>
  </w:style>
  <w:style w:type="character" w:customStyle="1" w:styleId="WW8Num3z1">
    <w:name w:val="WW8Num3z1"/>
    <w:rsid w:val="0037646A"/>
    <w:rPr>
      <w:rFonts w:ascii="Courier New" w:hAnsi="Courier New" w:cs="Courier New"/>
    </w:rPr>
  </w:style>
  <w:style w:type="character" w:customStyle="1" w:styleId="WW8Num3z2">
    <w:name w:val="WW8Num3z2"/>
    <w:rsid w:val="0037646A"/>
    <w:rPr>
      <w:rFonts w:ascii="Wingdings" w:hAnsi="Wingdings"/>
    </w:rPr>
  </w:style>
  <w:style w:type="character" w:customStyle="1" w:styleId="WW8Num4z0">
    <w:name w:val="WW8Num4z0"/>
    <w:rsid w:val="0037646A"/>
    <w:rPr>
      <w:rFonts w:ascii="Symbol" w:hAnsi="Symbol"/>
    </w:rPr>
  </w:style>
  <w:style w:type="character" w:customStyle="1" w:styleId="WW8Num4z1">
    <w:name w:val="WW8Num4z1"/>
    <w:rsid w:val="0037646A"/>
    <w:rPr>
      <w:rFonts w:ascii="Courier New" w:hAnsi="Courier New" w:cs="Courier New"/>
    </w:rPr>
  </w:style>
  <w:style w:type="character" w:customStyle="1" w:styleId="WW8Num4z2">
    <w:name w:val="WW8Num4z2"/>
    <w:rsid w:val="0037646A"/>
    <w:rPr>
      <w:rFonts w:ascii="Wingdings" w:hAnsi="Wingdings"/>
    </w:rPr>
  </w:style>
  <w:style w:type="character" w:customStyle="1" w:styleId="WW8Num5z0">
    <w:name w:val="WW8Num5z0"/>
    <w:rsid w:val="0037646A"/>
    <w:rPr>
      <w:rFonts w:ascii="Symbol" w:hAnsi="Symbol"/>
      <w:sz w:val="20"/>
    </w:rPr>
  </w:style>
  <w:style w:type="character" w:customStyle="1" w:styleId="WW8Num5z1">
    <w:name w:val="WW8Num5z1"/>
    <w:rsid w:val="0037646A"/>
    <w:rPr>
      <w:rFonts w:ascii="Courier New" w:hAnsi="Courier New"/>
      <w:sz w:val="20"/>
    </w:rPr>
  </w:style>
  <w:style w:type="character" w:customStyle="1" w:styleId="WW8Num5z2">
    <w:name w:val="WW8Num5z2"/>
    <w:rsid w:val="0037646A"/>
    <w:rPr>
      <w:rFonts w:ascii="Wingdings" w:hAnsi="Wingdings"/>
      <w:sz w:val="20"/>
    </w:rPr>
  </w:style>
  <w:style w:type="character" w:customStyle="1" w:styleId="WW8Num6z0">
    <w:name w:val="WW8Num6z0"/>
    <w:rsid w:val="0037646A"/>
    <w:rPr>
      <w:rFonts w:ascii="Symbol" w:hAnsi="Symbol"/>
      <w:sz w:val="20"/>
    </w:rPr>
  </w:style>
  <w:style w:type="character" w:customStyle="1" w:styleId="WW8Num6z1">
    <w:name w:val="WW8Num6z1"/>
    <w:rsid w:val="0037646A"/>
    <w:rPr>
      <w:rFonts w:ascii="Courier New" w:hAnsi="Courier New"/>
      <w:sz w:val="20"/>
    </w:rPr>
  </w:style>
  <w:style w:type="character" w:customStyle="1" w:styleId="WW8Num6z2">
    <w:name w:val="WW8Num6z2"/>
    <w:rsid w:val="0037646A"/>
    <w:rPr>
      <w:rFonts w:ascii="Wingdings" w:hAnsi="Wingdings"/>
      <w:sz w:val="20"/>
    </w:rPr>
  </w:style>
  <w:style w:type="character" w:customStyle="1" w:styleId="WW-DefaultParagraphFont">
    <w:name w:val="WW-Default Paragraph Font"/>
    <w:rsid w:val="0037646A"/>
  </w:style>
  <w:style w:type="character" w:customStyle="1" w:styleId="WW-DefaultParagraphFont1">
    <w:name w:val="WW-Default Paragraph Font1"/>
    <w:rsid w:val="0037646A"/>
  </w:style>
  <w:style w:type="character" w:customStyle="1" w:styleId="WW-DefaultParagraphFont11">
    <w:name w:val="WW-Default Paragraph Font11"/>
    <w:rsid w:val="0037646A"/>
  </w:style>
  <w:style w:type="character" w:customStyle="1" w:styleId="Absatz-Standardschriftart">
    <w:name w:val="Absatz-Standardschriftart"/>
    <w:rsid w:val="0037646A"/>
  </w:style>
  <w:style w:type="character" w:customStyle="1" w:styleId="WW-Absatz-Standardschriftart">
    <w:name w:val="WW-Absatz-Standardschriftart"/>
    <w:rsid w:val="0037646A"/>
  </w:style>
  <w:style w:type="character" w:customStyle="1" w:styleId="WW-Absatz-Standardschriftart1">
    <w:name w:val="WW-Absatz-Standardschriftart1"/>
    <w:rsid w:val="0037646A"/>
  </w:style>
  <w:style w:type="character" w:customStyle="1" w:styleId="WW-Absatz-Standardschriftart11">
    <w:name w:val="WW-Absatz-Standardschriftart11"/>
    <w:rsid w:val="0037646A"/>
  </w:style>
  <w:style w:type="character" w:customStyle="1" w:styleId="WW-Absatz-Standardschriftart111">
    <w:name w:val="WW-Absatz-Standardschriftart111"/>
    <w:rsid w:val="0037646A"/>
  </w:style>
  <w:style w:type="character" w:customStyle="1" w:styleId="WW-Absatz-Standardschriftart1111">
    <w:name w:val="WW-Absatz-Standardschriftart1111"/>
    <w:rsid w:val="0037646A"/>
  </w:style>
  <w:style w:type="character" w:customStyle="1" w:styleId="WW-DefaultParagraphFont111">
    <w:name w:val="WW-Default Paragraph Font111"/>
    <w:rsid w:val="0037646A"/>
  </w:style>
  <w:style w:type="character" w:customStyle="1" w:styleId="WW-Absatz-Standardschriftart11111">
    <w:name w:val="WW-Absatz-Standardschriftart11111"/>
    <w:rsid w:val="0037646A"/>
  </w:style>
  <w:style w:type="character" w:customStyle="1" w:styleId="WW-Absatz-Standardschriftart111111">
    <w:name w:val="WW-Absatz-Standardschriftart111111"/>
    <w:rsid w:val="0037646A"/>
  </w:style>
  <w:style w:type="character" w:customStyle="1" w:styleId="WW-DefaultParagraphFont1111">
    <w:name w:val="WW-Default Paragraph Font1111"/>
    <w:rsid w:val="0037646A"/>
  </w:style>
  <w:style w:type="character" w:customStyle="1" w:styleId="WW-DefaultParagraphFont11111">
    <w:name w:val="WW-Default Paragraph Font11111"/>
    <w:rsid w:val="0037646A"/>
  </w:style>
  <w:style w:type="character" w:customStyle="1" w:styleId="WW-DefaultParagraphFont111111">
    <w:name w:val="WW-Default Paragraph Font111111"/>
    <w:rsid w:val="0037646A"/>
  </w:style>
  <w:style w:type="character" w:customStyle="1" w:styleId="Quotation0">
    <w:name w:val="Quotation"/>
    <w:rsid w:val="0037646A"/>
    <w:rPr>
      <w:i/>
      <w:iCs/>
    </w:rPr>
  </w:style>
  <w:style w:type="character" w:customStyle="1" w:styleId="EndnoteCharacters">
    <w:name w:val="Endnote Characters"/>
    <w:rsid w:val="0037646A"/>
    <w:rPr>
      <w:vertAlign w:val="superscript"/>
    </w:rPr>
  </w:style>
  <w:style w:type="character" w:customStyle="1" w:styleId="WW-EndnoteCharacters">
    <w:name w:val="WW-Endnote Characters"/>
    <w:rsid w:val="0037646A"/>
  </w:style>
  <w:style w:type="paragraph" w:customStyle="1" w:styleId="Heading">
    <w:name w:val="Heading"/>
    <w:basedOn w:val="Normal"/>
    <w:next w:val="BodyText"/>
    <w:rsid w:val="0037646A"/>
    <w:pPr>
      <w:keepNext/>
      <w:suppressAutoHyphens/>
      <w:spacing w:before="240" w:after="120"/>
    </w:pPr>
    <w:rPr>
      <w:rFonts w:eastAsia="Microsoft YaHei" w:cs="Mangal"/>
      <w:sz w:val="28"/>
      <w:szCs w:val="28"/>
      <w:lang w:val="en-US" w:eastAsia="ar-SA"/>
    </w:rPr>
  </w:style>
  <w:style w:type="paragraph" w:styleId="List">
    <w:name w:val="List"/>
    <w:basedOn w:val="BodyText"/>
    <w:rsid w:val="0037646A"/>
    <w:pPr>
      <w:suppressAutoHyphens/>
    </w:pPr>
    <w:rPr>
      <w:rFonts w:ascii="Times New Roman" w:hAnsi="Times New Roman" w:cs="Mangal"/>
      <w:sz w:val="24"/>
      <w:lang w:val="en-US" w:eastAsia="ar-SA"/>
    </w:rPr>
  </w:style>
  <w:style w:type="paragraph" w:styleId="Caption">
    <w:name w:val="caption"/>
    <w:basedOn w:val="Normal"/>
    <w:qFormat/>
    <w:rsid w:val="0037646A"/>
    <w:pPr>
      <w:suppressLineNumbers/>
      <w:suppressAutoHyphens/>
      <w:spacing w:before="120" w:after="120"/>
    </w:pPr>
    <w:rPr>
      <w:rFonts w:ascii="Times New Roman" w:hAnsi="Times New Roman" w:cs="Mangal"/>
      <w:i/>
      <w:iCs/>
      <w:sz w:val="24"/>
      <w:lang w:val="en-US" w:eastAsia="ar-SA"/>
    </w:rPr>
  </w:style>
  <w:style w:type="paragraph" w:customStyle="1" w:styleId="Index">
    <w:name w:val="Index"/>
    <w:basedOn w:val="Normal"/>
    <w:rsid w:val="0037646A"/>
    <w:pPr>
      <w:suppressLineNumbers/>
      <w:suppressAutoHyphens/>
    </w:pPr>
    <w:rPr>
      <w:rFonts w:ascii="Times New Roman" w:hAnsi="Times New Roman" w:cs="Mangal"/>
      <w:sz w:val="24"/>
      <w:lang w:val="en-US" w:eastAsia="ar-SA"/>
    </w:rPr>
  </w:style>
  <w:style w:type="paragraph" w:customStyle="1" w:styleId="Pa20">
    <w:name w:val="Pa20"/>
    <w:basedOn w:val="Normal"/>
    <w:next w:val="Normal"/>
    <w:rsid w:val="0037646A"/>
    <w:pPr>
      <w:suppressAutoHyphens/>
      <w:spacing w:line="161" w:lineRule="atLeast"/>
    </w:pPr>
    <w:rPr>
      <w:rFonts w:ascii="Times New Roman" w:eastAsia="SimSun" w:hAnsi="Times New Roman" w:cs="Mangal"/>
      <w:sz w:val="24"/>
      <w:lang w:val="en-US" w:eastAsia="ar-SA"/>
    </w:rPr>
  </w:style>
  <w:style w:type="paragraph" w:customStyle="1" w:styleId="Pa2">
    <w:name w:val="Pa2"/>
    <w:basedOn w:val="Normal"/>
    <w:next w:val="Normal"/>
    <w:rsid w:val="0037646A"/>
    <w:pPr>
      <w:suppressAutoHyphens/>
      <w:spacing w:line="221" w:lineRule="atLeast"/>
    </w:pPr>
    <w:rPr>
      <w:rFonts w:ascii="Times New Roman" w:eastAsia="SimSun" w:hAnsi="Times New Roman" w:cs="Mangal"/>
      <w:sz w:val="24"/>
      <w:lang w:val="en-US" w:eastAsia="ar-SA"/>
    </w:rPr>
  </w:style>
  <w:style w:type="paragraph" w:styleId="Revision">
    <w:name w:val="Revision"/>
    <w:hidden/>
    <w:uiPriority w:val="99"/>
    <w:rsid w:val="0037646A"/>
    <w:rPr>
      <w:rFonts w:ascii="Calibri" w:eastAsia="Calibri" w:hAnsi="Calibri"/>
      <w:sz w:val="22"/>
      <w:szCs w:val="22"/>
      <w:lang w:val="en-CA"/>
    </w:rPr>
  </w:style>
  <w:style w:type="character" w:customStyle="1" w:styleId="citation">
    <w:name w:val="citation"/>
    <w:basedOn w:val="DefaultParagraphFont"/>
    <w:rsid w:val="00D4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49D7-A0BA-4963-ACBE-563DD2FE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6061</Words>
  <Characters>34549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TITLE</vt:lpstr>
    </vt:vector>
  </TitlesOfParts>
  <Company>Parliament of Australia</Company>
  <LinksUpToDate>false</LinksUpToDate>
  <CharactersWithSpaces>40529</CharactersWithSpaces>
  <SharedDoc>false</SharedDoc>
  <HLinks>
    <vt:vector size="150" baseType="variant">
      <vt:variant>
        <vt:i4>3211297</vt:i4>
      </vt:variant>
      <vt:variant>
        <vt:i4>12</vt:i4>
      </vt:variant>
      <vt:variant>
        <vt:i4>0</vt:i4>
      </vt:variant>
      <vt:variant>
        <vt:i4>5</vt:i4>
      </vt:variant>
      <vt:variant>
        <vt:lpwstr>http://www.anao.gov.au/</vt:lpwstr>
      </vt:variant>
      <vt:variant>
        <vt:lpwstr/>
      </vt:variant>
      <vt:variant>
        <vt:i4>3342395</vt:i4>
      </vt:variant>
      <vt:variant>
        <vt:i4>9</vt:i4>
      </vt:variant>
      <vt:variant>
        <vt:i4>0</vt:i4>
      </vt:variant>
      <vt:variant>
        <vt:i4>5</vt:i4>
      </vt:variant>
      <vt:variant>
        <vt:lpwstr>http://www.coat.gov.au/</vt:lpwstr>
      </vt:variant>
      <vt:variant>
        <vt:lpwstr/>
      </vt:variant>
      <vt:variant>
        <vt:i4>262209</vt:i4>
      </vt:variant>
      <vt:variant>
        <vt:i4>6</vt:i4>
      </vt:variant>
      <vt:variant>
        <vt:i4>0</vt:i4>
      </vt:variant>
      <vt:variant>
        <vt:i4>5</vt:i4>
      </vt:variant>
      <vt:variant>
        <vt:lpwstr>http://www.pmc.gov.au/parliamentary/index.cfm</vt:lpwstr>
      </vt:variant>
      <vt:variant>
        <vt:lpwstr/>
      </vt:variant>
      <vt:variant>
        <vt:i4>3014726</vt:i4>
      </vt:variant>
      <vt:variant>
        <vt:i4>3</vt:i4>
      </vt:variant>
      <vt:variant>
        <vt:i4>0</vt:i4>
      </vt:variant>
      <vt:variant>
        <vt:i4>5</vt:i4>
      </vt:variant>
      <vt:variant>
        <vt:lpwstr>http://www.aph.gov.au/senate/committee/legcon_ctte/inquiries.htm</vt:lpwstr>
      </vt:variant>
      <vt:variant>
        <vt:lpwstr/>
      </vt:variant>
      <vt:variant>
        <vt:i4>720927</vt:i4>
      </vt:variant>
      <vt:variant>
        <vt:i4>0</vt:i4>
      </vt:variant>
      <vt:variant>
        <vt:i4>0</vt:i4>
      </vt:variant>
      <vt:variant>
        <vt:i4>5</vt:i4>
      </vt:variant>
      <vt:variant>
        <vt:lpwstr>http://www.chiefminister.act.gov.au/</vt:lpwstr>
      </vt:variant>
      <vt:variant>
        <vt:lpwstr/>
      </vt:variant>
      <vt:variant>
        <vt:i4>6160454</vt:i4>
      </vt:variant>
      <vt:variant>
        <vt:i4>57</vt:i4>
      </vt:variant>
      <vt:variant>
        <vt:i4>0</vt:i4>
      </vt:variant>
      <vt:variant>
        <vt:i4>5</vt:i4>
      </vt:variant>
      <vt:variant>
        <vt:lpwstr>http://www.lawcouncil.asn.au/</vt:lpwstr>
      </vt:variant>
      <vt:variant>
        <vt:lpwstr/>
      </vt:variant>
      <vt:variant>
        <vt:i4>6750247</vt:i4>
      </vt:variant>
      <vt:variant>
        <vt:i4>54</vt:i4>
      </vt:variant>
      <vt:variant>
        <vt:i4>0</vt:i4>
      </vt:variant>
      <vt:variant>
        <vt:i4>5</vt:i4>
      </vt:variant>
      <vt:variant>
        <vt:lpwstr>http://www.pmc.gov.au/</vt:lpwstr>
      </vt:variant>
      <vt:variant>
        <vt:lpwstr/>
      </vt:variant>
      <vt:variant>
        <vt:i4>7077938</vt:i4>
      </vt:variant>
      <vt:variant>
        <vt:i4>51</vt:i4>
      </vt:variant>
      <vt:variant>
        <vt:i4>0</vt:i4>
      </vt:variant>
      <vt:variant>
        <vt:i4>5</vt:i4>
      </vt:variant>
      <vt:variant>
        <vt:lpwstr>http://www.finance.gov.au/governancestructures</vt:lpwstr>
      </vt:variant>
      <vt:variant>
        <vt:lpwstr/>
      </vt:variant>
      <vt:variant>
        <vt:i4>720903</vt:i4>
      </vt:variant>
      <vt:variant>
        <vt:i4>48</vt:i4>
      </vt:variant>
      <vt:variant>
        <vt:i4>0</vt:i4>
      </vt:variant>
      <vt:variant>
        <vt:i4>5</vt:i4>
      </vt:variant>
      <vt:variant>
        <vt:lpwstr>http://www.ombudsman.vic.gov.au/</vt:lpwstr>
      </vt:variant>
      <vt:variant>
        <vt:lpwstr/>
      </vt:variant>
      <vt:variant>
        <vt:i4>3145793</vt:i4>
      </vt:variant>
      <vt:variant>
        <vt:i4>45</vt:i4>
      </vt:variant>
      <vt:variant>
        <vt:i4>0</vt:i4>
      </vt:variant>
      <vt:variant>
        <vt:i4>5</vt:i4>
      </vt:variant>
      <vt:variant>
        <vt:lpwstr>http://www.aph.gov.au/senate/committee/legcon_ctte/index.htm</vt:lpwstr>
      </vt:variant>
      <vt:variant>
        <vt:lpwstr/>
      </vt:variant>
      <vt:variant>
        <vt:i4>7667757</vt:i4>
      </vt:variant>
      <vt:variant>
        <vt:i4>42</vt:i4>
      </vt:variant>
      <vt:variant>
        <vt:i4>0</vt:i4>
      </vt:variant>
      <vt:variant>
        <vt:i4>5</vt:i4>
      </vt:variant>
      <vt:variant>
        <vt:lpwstr>http://www.privacy.gov.au/</vt:lpwstr>
      </vt:variant>
      <vt:variant>
        <vt:lpwstr/>
      </vt:variant>
      <vt:variant>
        <vt:i4>4128813</vt:i4>
      </vt:variant>
      <vt:variant>
        <vt:i4>39</vt:i4>
      </vt:variant>
      <vt:variant>
        <vt:i4>0</vt:i4>
      </vt:variant>
      <vt:variant>
        <vt:i4>5</vt:i4>
      </vt:variant>
      <vt:variant>
        <vt:lpwstr>http://www.comb.gov.au/</vt:lpwstr>
      </vt:variant>
      <vt:variant>
        <vt:lpwstr/>
      </vt:variant>
      <vt:variant>
        <vt:i4>6619191</vt:i4>
      </vt:variant>
      <vt:variant>
        <vt:i4>36</vt:i4>
      </vt:variant>
      <vt:variant>
        <vt:i4>0</vt:i4>
      </vt:variant>
      <vt:variant>
        <vt:i4>5</vt:i4>
      </vt:variant>
      <vt:variant>
        <vt:lpwstr>http://www.dca.gov.uk/</vt:lpwstr>
      </vt:variant>
      <vt:variant>
        <vt:lpwstr/>
      </vt:variant>
      <vt:variant>
        <vt:i4>6684789</vt:i4>
      </vt:variant>
      <vt:variant>
        <vt:i4>33</vt:i4>
      </vt:variant>
      <vt:variant>
        <vt:i4>0</vt:i4>
      </vt:variant>
      <vt:variant>
        <vt:i4>5</vt:i4>
      </vt:variant>
      <vt:variant>
        <vt:lpwstr>http://www.hro.act.gov.au/</vt:lpwstr>
      </vt:variant>
      <vt:variant>
        <vt:lpwstr/>
      </vt:variant>
      <vt:variant>
        <vt:i4>1376287</vt:i4>
      </vt:variant>
      <vt:variant>
        <vt:i4>30</vt:i4>
      </vt:variant>
      <vt:variant>
        <vt:i4>0</vt:i4>
      </vt:variant>
      <vt:variant>
        <vt:i4>5</vt:i4>
      </vt:variant>
      <vt:variant>
        <vt:lpwstr>http://www.immi.gov.au/current-issues/issues.htm</vt:lpwstr>
      </vt:variant>
      <vt:variant>
        <vt:lpwstr/>
      </vt:variant>
      <vt:variant>
        <vt:i4>131145</vt:i4>
      </vt:variant>
      <vt:variant>
        <vt:i4>27</vt:i4>
      </vt:variant>
      <vt:variant>
        <vt:i4>0</vt:i4>
      </vt:variant>
      <vt:variant>
        <vt:i4>5</vt:i4>
      </vt:variant>
      <vt:variant>
        <vt:lpwstr>http://www.pmc.gov.au/new</vt:lpwstr>
      </vt:variant>
      <vt:variant>
        <vt:lpwstr/>
      </vt:variant>
      <vt:variant>
        <vt:i4>4259917</vt:i4>
      </vt:variant>
      <vt:variant>
        <vt:i4>24</vt:i4>
      </vt:variant>
      <vt:variant>
        <vt:i4>0</vt:i4>
      </vt:variant>
      <vt:variant>
        <vt:i4>5</vt:i4>
      </vt:variant>
      <vt:variant>
        <vt:lpwstr>http://www.pm.gov.au/</vt:lpwstr>
      </vt:variant>
      <vt:variant>
        <vt:lpwstr/>
      </vt:variant>
      <vt:variant>
        <vt:i4>4128813</vt:i4>
      </vt:variant>
      <vt:variant>
        <vt:i4>21</vt:i4>
      </vt:variant>
      <vt:variant>
        <vt:i4>0</vt:i4>
      </vt:variant>
      <vt:variant>
        <vt:i4>5</vt:i4>
      </vt:variant>
      <vt:variant>
        <vt:lpwstr>http://www.comb.gov.au/</vt:lpwstr>
      </vt:variant>
      <vt:variant>
        <vt:lpwstr/>
      </vt:variant>
      <vt:variant>
        <vt:i4>8060961</vt:i4>
      </vt:variant>
      <vt:variant>
        <vt:i4>18</vt:i4>
      </vt:variant>
      <vt:variant>
        <vt:i4>0</vt:i4>
      </vt:variant>
      <vt:variant>
        <vt:i4>5</vt:i4>
      </vt:variant>
      <vt:variant>
        <vt:lpwstr>http://www.defence.gov.au/mjs/index.cfm</vt:lpwstr>
      </vt:variant>
      <vt:variant>
        <vt:lpwstr/>
      </vt:variant>
      <vt:variant>
        <vt:i4>5636156</vt:i4>
      </vt:variant>
      <vt:variant>
        <vt:i4>15</vt:i4>
      </vt:variant>
      <vt:variant>
        <vt:i4>0</vt:i4>
      </vt:variant>
      <vt:variant>
        <vt:i4>5</vt:i4>
      </vt:variant>
      <vt:variant>
        <vt:lpwstr>http://www.aph.gov.au/Senate/committee/FADT_CTTE/index.htm</vt:lpwstr>
      </vt:variant>
      <vt:variant>
        <vt:lpwstr/>
      </vt:variant>
      <vt:variant>
        <vt:i4>7143480</vt:i4>
      </vt:variant>
      <vt:variant>
        <vt:i4>12</vt:i4>
      </vt:variant>
      <vt:variant>
        <vt:i4>0</vt:i4>
      </vt:variant>
      <vt:variant>
        <vt:i4>5</vt:i4>
      </vt:variant>
      <vt:variant>
        <vt:lpwstr>http://www.aph.gov.au/house/committee/pjcaad/index.htm</vt:lpwstr>
      </vt:variant>
      <vt:variant>
        <vt:lpwstr/>
      </vt:variant>
      <vt:variant>
        <vt:i4>5963781</vt:i4>
      </vt:variant>
      <vt:variant>
        <vt:i4>9</vt:i4>
      </vt:variant>
      <vt:variant>
        <vt:i4>0</vt:i4>
      </vt:variant>
      <vt:variant>
        <vt:i4>5</vt:i4>
      </vt:variant>
      <vt:variant>
        <vt:lpwstr>http://www.hro.act.gov.au/index.html</vt:lpwstr>
      </vt:variant>
      <vt:variant>
        <vt:lpwstr/>
      </vt:variant>
      <vt:variant>
        <vt:i4>1704023</vt:i4>
      </vt:variant>
      <vt:variant>
        <vt:i4>6</vt:i4>
      </vt:variant>
      <vt:variant>
        <vt:i4>0</vt:i4>
      </vt:variant>
      <vt:variant>
        <vt:i4>5</vt:i4>
      </vt:variant>
      <vt:variant>
        <vt:lpwstr>http://www.hreoc.gov.au/</vt:lpwstr>
      </vt:variant>
      <vt:variant>
        <vt:lpwstr/>
      </vt:variant>
      <vt:variant>
        <vt:i4>3407934</vt:i4>
      </vt:variant>
      <vt:variant>
        <vt:i4>3</vt:i4>
      </vt:variant>
      <vt:variant>
        <vt:i4>0</vt:i4>
      </vt:variant>
      <vt:variant>
        <vt:i4>5</vt:i4>
      </vt:variant>
      <vt:variant>
        <vt:lpwstr>http://www.gtcentre.unsw.edu.au/publications/terrorism.asp</vt:lpwstr>
      </vt:variant>
      <vt:variant>
        <vt:lpwstr/>
      </vt:variant>
      <vt:variant>
        <vt:i4>4259917</vt:i4>
      </vt:variant>
      <vt:variant>
        <vt:i4>0</vt:i4>
      </vt:variant>
      <vt:variant>
        <vt:i4>0</vt:i4>
      </vt:variant>
      <vt:variant>
        <vt:i4>5</vt:i4>
      </vt:variant>
      <vt:variant>
        <vt:lpwstr>http://www.pm.gov.au/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Griffiths</dc:creator>
  <cp:lastModifiedBy>Elizabeth</cp:lastModifiedBy>
  <cp:revision>15</cp:revision>
  <cp:lastPrinted>2000-12-14T11:50:00Z</cp:lastPrinted>
  <dcterms:created xsi:type="dcterms:W3CDTF">2013-10-17T23:43:00Z</dcterms:created>
  <dcterms:modified xsi:type="dcterms:W3CDTF">2013-10-24T04:37:00Z</dcterms:modified>
</cp:coreProperties>
</file>